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BERTA</w:t>
            </w:r>
          </w:p>
          <w:p w:rsidR="00C275A3" w:rsidRDefault="00A96AEC" w:rsidP="00C275A3">
            <w:pPr>
              <w:pStyle w:val="Hallgatokepzes"/>
            </w:pPr>
            <w:r>
              <w:t>Management and Leadership</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BENCE PÁLFI</w:t>
            </w:r>
          </w:p>
          <w:p w:rsidR="00DB4822" w:rsidRDefault="00C275A3" w:rsidP="004D7940">
            <w:pPr>
              <w:pStyle w:val="Hallgatokepzes"/>
            </w:pPr>
            <w:r>
              <w:t>Management and Business Administration</w:t>
            </w:r>
            <w:r w:rsidR="00A96AEC">
              <w:br/>
              <w:t>BSc,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Kiss</w:t>
            </w:r>
          </w:p>
          <w:p w:rsidR="00DB4822" w:rsidRDefault="00DB4822" w:rsidP="00E11062">
            <w:pPr>
              <w:pStyle w:val="Konzulensek"/>
            </w:pPr>
            <w:r w:rsidRPr="00DB4822">
              <w:t>scientific assistant,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factors related to the emotional commitment in the Széchenyi István College for Advanced Studies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our paper is organizational commitment, which is usually used by organizational researchers in the business area. Our research is based on Allen-Meyer’s three-component model, which divides the organizational commitment into three psychological components, namely: affective, continuous and normative. During our analysis we managed to prove our hypothesis, that in the researched student organization (college for advanced studies) the affective commitment is the most significant one. Consequently, we have been focusing our research solely on this dimension. Apart from that we have also observed some other components such as Organizational Citizenship Behaviour (OCB) and Group Environment (GE), and their relation to the affective commitment. According to our main hypothesis OCB and GE have positive correlation with the affective dimension. However, in our research we cannot prove causality, we can only show the strength of these relations. As we see, these results can be useful not only for our researched organization, but to other student organizations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40128">
    <w:multiLevelType w:val="hybridMultilevel"/>
    <w:lvl w:ilvl="0" w:tplc="24062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40128">
    <w:abstractNumId w:val="256401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25337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