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ZOMBOR BEREZVAI</w:t>
            </w:r>
          </w:p>
          <w:p w:rsidR="00C275A3" w:rsidRDefault="00A96AEC" w:rsidP="00C275A3">
            <w:pPr>
              <w:pStyle w:val="Hallgatokepzes"/>
            </w:pPr>
            <w:r>
              <w:t>Bachelor of Applied Economics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Irma Agárdi</w:t>
            </w:r>
          </w:p>
          <w:p w:rsidR="00DB4822" w:rsidRDefault="00DB4822" w:rsidP="00E11062">
            <w:pPr>
              <w:pStyle w:val="Konzulensek"/>
            </w:pPr>
            <w:r w:rsidRPr="00DB4822">
              <w:t>associate professor (CUB - Department of Marketing),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pricing strategy of food retail chains in economic crisis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research was to determine the pricing strategies of the Hungarian food retail chains during the economic crisis. Furthermore, I analyzed the success of these strategies.</w:t>
      </w:r>
    </w:p>
    <w:p>
      <w:pPr>
        <w:pBdr/>
        <w:spacing w:before="240" w:after="240" w:line="240" w:lineRule="auto"/>
        <w:ind w:left="0" w:right="0"/>
        <w:jc w:val="left"/>
      </w:pPr>
      <w:r>
        <w:rPr>
          <w:color w:val="000000"/>
          <w:sz w:val="24"/>
          <w:szCs w:val="24"/>
        </w:rPr>
        <w:t xml:space="preserve">A pricing strategy involves two main elements: baseline price level and promotion. To examine baseline prices, I made an own research in 44 retail shops in Budapest. This means that 15% of the shops connected to a modern retail chain were in the random sample. I recorded the prices of 15 well-defined representative products. Márton Szabó, expert on agricultural economics helped me to choose these products. The research was conducted twice (before and after VAT increase, 1st of January 2012). It means that there were collected baseline prices before and after a cost shock.</w:t>
      </w:r>
    </w:p>
    <w:p>
      <w:pPr>
        <w:pBdr/>
        <w:spacing w:before="240" w:after="240" w:line="240" w:lineRule="auto"/>
        <w:ind w:left="0" w:right="0"/>
        <w:jc w:val="left"/>
      </w:pPr>
      <w:r>
        <w:rPr>
          <w:color w:val="000000"/>
          <w:sz w:val="24"/>
          <w:szCs w:val="24"/>
        </w:rPr>
        <w:t xml:space="preserve">The promotional activity was examined by several self-made variables using printed price-promotion papers published between the two price surveys.</w:t>
      </w:r>
    </w:p>
    <w:p>
      <w:pPr>
        <w:pBdr/>
        <w:spacing w:before="240" w:after="240" w:line="240" w:lineRule="auto"/>
        <w:ind w:left="0" w:right="0"/>
        <w:jc w:val="left"/>
      </w:pPr>
      <w:r>
        <w:rPr>
          <w:color w:val="000000"/>
          <w:sz w:val="24"/>
          <w:szCs w:val="24"/>
        </w:rPr>
        <w:t xml:space="preserve">I made professional interviews with Attila Fodor (communication leader of CBA) and Márton Edelényi (price manager of Tesco) to certify the results of the research.</w:t>
      </w:r>
    </w:p>
    <w:p>
      <w:pPr>
        <w:pBdr/>
        <w:spacing w:before="240" w:after="240" w:line="240" w:lineRule="auto"/>
        <w:ind w:left="0" w:right="0"/>
        <w:jc w:val="left"/>
      </w:pPr>
      <w:r>
        <w:rPr>
          <w:color w:val="000000"/>
          <w:sz w:val="24"/>
          <w:szCs w:val="24"/>
        </w:rPr>
        <w:t xml:space="preserve">By grouping retail chains along baseline price levels and promotional activities using cluster analysis I identified three different types of pricing strategies. The first group’s (Tesco, Spar, Interspar, Lidl, Aldi, Penny Market, some of the CBA Príma shops) price level is low and they are strong in promotion. The second group (Profi, Match, Tesco Expressz) is operating with medium price level and low promotional activity. The third group (G’Roby, most of CBA Príma shops) contains shops with high price level and medium promotional activity.</w:t>
      </w:r>
    </w:p>
    <w:p>
      <w:pPr>
        <w:pBdr/>
        <w:spacing w:before="240" w:after="240" w:line="240" w:lineRule="auto"/>
        <w:ind w:left="0" w:right="0"/>
        <w:jc w:val="left"/>
      </w:pPr>
      <w:r>
        <w:rPr>
          <w:color w:val="000000"/>
          <w:sz w:val="24"/>
          <w:szCs w:val="24"/>
        </w:rPr>
        <w:t xml:space="preserve">The last phase of the research was to check whether there is a correlation between the three pricing strategies and other performance indicators (e.g. operational profit or loss, change of market share, turnover per shop). These show that the second group’s strategy is a losing strategy; and the first group’s performance is the best. The differences between the chains in the first group are connected to how long they play the winner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54718">
    <w:multiLevelType w:val="hybridMultilevel"/>
    <w:lvl w:ilvl="0" w:tplc="92075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54718">
    <w:abstractNumId w:val="440547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634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