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 NORBERT BACHUSZ</w:t>
            </w:r>
          </w:p>
          <w:p w:rsidR="00C275A3" w:rsidRDefault="00A96AEC" w:rsidP="00C275A3">
            <w:pPr>
              <w:pStyle w:val="Hallgatokepzes"/>
            </w:pPr>
            <w:r>
              <w:t>Accountancy</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 János Lukács, Dr.</w:t>
            </w:r>
          </w:p>
          <w:p w:rsidR="00DB4822" w:rsidRDefault="00DB4822" w:rsidP="00E11062">
            <w:pPr>
              <w:pStyle w:val="Konzulensek"/>
            </w:pPr>
            <w:r w:rsidRPr="00DB4822">
              <w:t>Associate professor and head of department (BCE),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„Disengagement” The timely questions of the accrued assets’ and deferred payments’ settlement in the energy sector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Norbert Bachusz</w:t>
      </w:r>
    </w:p>
    <w:p>
      <w:pPr>
        <w:widowControl w:val="on"/>
        <w:pBdr/>
        <w:spacing w:before="240" w:after="240" w:line="240" w:lineRule="auto"/>
        <w:ind w:left="0" w:right="0"/>
        <w:jc w:val="left"/>
      </w:pPr>
      <w:r>
        <w:rPr>
          <w:color w:val="000000"/>
          <w:sz w:val="24"/>
          <w:szCs w:val="24"/>
        </w:rPr>
        <w:t xml:space="preserve">Year of degree: 2013</w:t>
      </w:r>
    </w:p>
    <w:p>
      <w:pPr>
        <w:widowControl w:val="on"/>
        <w:pBdr/>
        <w:spacing w:before="240" w:after="240" w:line="240" w:lineRule="auto"/>
        <w:ind w:left="0" w:right="0"/>
        <w:jc w:val="left"/>
      </w:pPr>
      <w:r>
        <w:rPr>
          <w:color w:val="000000"/>
          <w:sz w:val="24"/>
          <w:szCs w:val="24"/>
        </w:rPr>
        <w:t xml:space="preserve">Accountancy</w:t>
      </w:r>
    </w:p>
    <w:p>
      <w:pPr>
        <w:widowControl w:val="on"/>
        <w:pBdr/>
        <w:spacing w:before="240" w:after="240" w:line="240" w:lineRule="auto"/>
        <w:ind w:left="0" w:right="0"/>
        <w:jc w:val="left"/>
      </w:pPr>
      <w:r>
        <w:rPr>
          <w:color w:val="000000"/>
          <w:sz w:val="24"/>
          <w:szCs w:val="24"/>
        </w:rPr>
        <w:t xml:space="preserve">„disengagement”</w:t>
      </w:r>
      <w:r>
        <w:rPr>
          <w:color w:val="000000"/>
          <w:sz w:val="24"/>
          <w:szCs w:val="24"/>
        </w:rPr>
        <w:br/>
        <w:t xml:space="preserve">the timely questions of the accrued assets’</w:t>
      </w:r>
      <w:r>
        <w:rPr>
          <w:color w:val="000000"/>
          <w:sz w:val="24"/>
          <w:szCs w:val="24"/>
        </w:rPr>
        <w:br/>
        <w:t xml:space="preserve">and deferred payments’ settlement</w:t>
      </w:r>
      <w:r>
        <w:rPr>
          <w:color w:val="000000"/>
          <w:sz w:val="24"/>
          <w:szCs w:val="24"/>
        </w:rPr>
        <w:br/>
        <w:t xml:space="preserve">in the energy sector</w:t>
      </w:r>
    </w:p>
    <w:p>
      <w:pPr>
        <w:widowControl w:val="on"/>
        <w:pBdr/>
        <w:spacing w:before="240" w:after="240" w:line="240" w:lineRule="auto"/>
        <w:ind w:left="0" w:right="0"/>
        <w:jc w:val="left"/>
      </w:pPr>
      <w:r>
        <w:rPr>
          <w:color w:val="000000"/>
          <w:sz w:val="24"/>
          <w:szCs w:val="24"/>
        </w:rPr>
        <w:t xml:space="preserve">„Elhatárolódás”</w:t>
      </w:r>
    </w:p>
    <w:p>
      <w:pPr>
        <w:widowControl w:val="on"/>
        <w:pBdr/>
        <w:spacing w:before="240" w:after="240" w:line="240" w:lineRule="auto"/>
        <w:ind w:left="0" w:right="0"/>
        <w:jc w:val="left"/>
      </w:pPr>
      <w:r>
        <w:rPr>
          <w:color w:val="000000"/>
          <w:sz w:val="24"/>
          <w:szCs w:val="24"/>
        </w:rPr>
        <w:t xml:space="preserve">Az elhatárolások elszámolásának időszerű kérdései az energia szektorban</w:t>
      </w:r>
    </w:p>
    <w:p>
      <w:pPr>
        <w:widowControl w:val="on"/>
        <w:pBdr/>
        <w:spacing w:before="240" w:after="240" w:line="240" w:lineRule="auto"/>
        <w:ind w:left="0" w:right="0"/>
        <w:jc w:val="left"/>
      </w:pPr>
      <w:r>
        <w:rPr>
          <w:color w:val="000000"/>
          <w:sz w:val="24"/>
          <w:szCs w:val="24"/>
        </w:rPr>
        <w:t xml:space="preserve">My research calls attention to the problems arising from the several settlements in accountancy of accrued payments and deferred payments. My aim was to demonstrate how the unified picture of the reports can be distorted, with special regard to organizations that possess significant substance.</w:t>
      </w:r>
    </w:p>
    <w:p>
      <w:pPr>
        <w:widowControl w:val="on"/>
        <w:pBdr/>
        <w:spacing w:before="240" w:after="240" w:line="240" w:lineRule="auto"/>
        <w:ind w:left="0" w:right="0"/>
        <w:jc w:val="left"/>
      </w:pPr>
      <w:r>
        <w:rPr>
          <w:color w:val="000000"/>
          <w:sz w:val="24"/>
          <w:szCs w:val="24"/>
        </w:rPr>
        <w:t xml:space="preserve">In my hypothesis I argue for the approach to the International Financial Reporting Standards. In my opinion, due to the practice of deferred payments’ settlement, we are not always able to get a unified picture of the companies. The law allows different ways of recording these stocks, which may cause further distortion.</w:t>
      </w:r>
    </w:p>
    <w:p>
      <w:pPr>
        <w:widowControl w:val="on"/>
        <w:pBdr/>
        <w:spacing w:before="240" w:after="240" w:line="240" w:lineRule="auto"/>
        <w:ind w:left="0" w:right="0"/>
        <w:jc w:val="left"/>
      </w:pPr>
      <w:r>
        <w:rPr>
          <w:color w:val="000000"/>
          <w:sz w:val="24"/>
          <w:szCs w:val="24"/>
        </w:rPr>
        <w:t xml:space="preserve">I looked back at the past ten years when proving my hypothesis. I separately examined the reports of Hungarian gas suppliers. My finding is that the deferred payments and accrued assets deserves emphasized attention. This is especially current in the case of sections like that where the anomalies are spectacular through the sectorial peculiarities.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66565">
    <w:multiLevelType w:val="hybridMultilevel"/>
    <w:lvl w:ilvl="0" w:tplc="43592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66565">
    <w:abstractNumId w:val="11266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9795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