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MATTUSICH</w:t>
            </w:r>
          </w:p>
          <w:p w:rsidR="00C275A3" w:rsidRDefault="00A96AEC" w:rsidP="00C275A3">
            <w:pPr>
              <w:pStyle w:val="Hallgatokepzes"/>
            </w:pPr>
            <w:r>
              <w:t>Management and Leadership</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Ernő Tari</w:t>
            </w:r>
          </w:p>
          <w:p w:rsidR="00DB4822" w:rsidRDefault="00DB4822" w:rsidP="00E11062">
            <w:pPr>
              <w:pStyle w:val="Konzulensek"/>
            </w:pPr>
            <w:r w:rsidRPr="00DB4822">
              <w:t>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You Cannot Do It Alone, or The Latest Trends Of Strategic Alliances Between Competitive Car Manufacturers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Strategic alliances have become an important element of most of the companies’ competitive and growth strategies. This especially applies to the car industry, where major changes have occurred because of the global crisis, the decreasing real income, the loss of customer confidence and the changing customer needs. To resist the negative effects, more and more OEMs seek for cooperation with their competitors in order to improve operational efficiency, to access new markets or just to survive.</w:t>
      </w:r>
    </w:p>
    <w:p>
      <w:pPr>
        <w:pBdr/>
        <w:spacing w:before="240" w:after="240" w:line="240" w:lineRule="auto"/>
        <w:ind w:left="0" w:right="0"/>
        <w:jc w:val="left"/>
      </w:pPr>
      <w:r>
        <w:rPr>
          <w:color w:val="000000"/>
          <w:sz w:val="24"/>
          <w:szCs w:val="24"/>
        </w:rPr>
        <w:t xml:space="preserve">This paper aims to illustrate the practical application of a model that may be an effective tool for the evaluation of the tendencies of horizontal strategic alliances established in the automotive industry after 2008. The model is based on the strategic map of Kaplan and Norton, but adjusted to the automotive industry. By using the Daimler—Renault-Nissan alliance as an example, it shows the key success factors in the industry and the opportunities present among the current market conditions.</w:t>
      </w:r>
    </w:p>
    <w:p>
      <w:pPr>
        <w:pBdr/>
        <w:spacing w:before="240" w:after="240" w:line="240" w:lineRule="auto"/>
        <w:ind w:left="0" w:right="0"/>
        <w:jc w:val="left"/>
      </w:pPr>
      <w:r>
        <w:rPr>
          <w:color w:val="000000"/>
          <w:sz w:val="24"/>
          <w:szCs w:val="24"/>
        </w:rPr>
        <w:t xml:space="preserve">The paper gives an overview of the key characteristics of the Daimler—Renault-Nissan alliance: its motivation, operations and links to the individual corporate strategies. In addition, the alliance is put into context by drawing the respective alliance portfolios. The changing nature of automotive strategic alliances is highlighted, with a growing focus on scale and technological alliances.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626298">
    <w:multiLevelType w:val="hybridMultilevel"/>
    <w:lvl w:ilvl="0" w:tplc="859208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26298">
    <w:abstractNumId w:val="346262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14449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