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OROSZ</w:t>
            </w:r>
          </w:p>
          <w:p w:rsidR="00C275A3" w:rsidRDefault="00A96AEC" w:rsidP="00C275A3">
            <w:pPr>
              <w:pStyle w:val="Hallgatokepzes"/>
            </w:pPr>
            <w:r>
              <w:t>Management and Leadership</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Zsolt Szabó,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Know-Who To Responsibility- Interpretation Of A CSR Network From An Entrepreneurial Point Of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of different networks such as economic, personal, IT or online networks are undeniable, not just in our everyday life but also in the business life. Relationship-building is essential regarding the small and medium sized enterprises (SMEs), in order to gather the resources for their operations and to realize competitive advantage, the entrepreneurs have to rely on their personal relations/networks.</w:t>
      </w:r>
    </w:p>
    <w:p>
      <w:pPr>
        <w:widowControl w:val="on"/>
        <w:pBdr/>
        <w:spacing w:before="240" w:after="240" w:line="240" w:lineRule="auto"/>
        <w:ind w:left="0" w:right="0"/>
        <w:jc w:val="left"/>
      </w:pPr>
      <w:r>
        <w:rPr>
          <w:color w:val="000000"/>
          <w:sz w:val="24"/>
          <w:szCs w:val="24"/>
        </w:rPr>
        <w:t xml:space="preserve">The main focus of this essay is to examine whether it is possible to analyse a network based on corporate social responsibility in a specific company. Moreover it examines if this network have any specific features such as strength of connection between elements of the so called CSR-relation network. The essay also examined the centralization of the relation-capital in the network. The findings are based on a qualitative research within a middle-sized Hungarian firm which has built a significant CSR network, which has great effect on the company’s strategic opportunities and offer possibility to exploit the advantages of such networks.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5777">
    <w:multiLevelType w:val="hybridMultilevel"/>
    <w:lvl w:ilvl="0" w:tplc="42833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05777">
    <w:abstractNumId w:val="83605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764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