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MSc, 5.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Ilyés</w:t>
            </w:r>
          </w:p>
          <w:p w:rsidR="00DB4822" w:rsidRDefault="00DB4822" w:rsidP="00E11062">
            <w:pPr>
              <w:pStyle w:val="Konzulensek"/>
            </w:pPr>
            <w:r w:rsidRPr="00DB4822">
              <w:t>,  Hungarian Academy of Sciences. Economics Institute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Egyszer fenn, egyszer lenn: átfogó reptér stratégiák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purposes a Comprehensive Airport Strategy Matrix, for the management of airports. This matrix is based on two fundamental factors: characteristics of the airport and type of dominant airlines. Based on this model, four major strategy can identified (question mark, hub, periphery and emerging) and can divide into sustainable and non-sustainable strategies. Sustainable strategies (hub and periphery) mean the equilibrium points of the model in a longer perspective. Non-sustainable strategies are changing dynamically and moving toward the equilibrium. Another trend can be seen, the convergence of the airports in the same metropolitan area, with a hub and a periphery strategies. This new approach is the multi-airport clusters (MACs), which analyze these local networks as business cluster. At the end, this paper analyze how the MALÉV bankruptcy influenced the Budapest Airport’s operation.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024636">
    <w:multiLevelType w:val="hybridMultilevel"/>
    <w:lvl w:ilvl="0" w:tplc="902231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024636">
    <w:abstractNumId w:val="830246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97479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