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HORVATH</w:t>
            </w:r>
          </w:p>
          <w:p w:rsidR="00C275A3" w:rsidRDefault="00A96AEC" w:rsidP="00C275A3">
            <w:pPr>
              <w:pStyle w:val="Hallgatokepzes"/>
            </w:pPr>
            <w:r>
              <w:t>Economics</w:t>
            </w:r>
            <w:r>
              <w:br/>
            </w:r>
            <w:r w:rsidR="00E77B23">
              <w:t>BSc, 3.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Neszveda</w:t>
            </w:r>
          </w:p>
          <w:p w:rsidR="00DB4822" w:rsidRDefault="00DB4822" w:rsidP="00E11062">
            <w:pPr>
              <w:pStyle w:val="Konzulensek"/>
            </w:pPr>
            <w:r w:rsidRPr="00DB4822">
              <w:t>PhD student,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anomalies of intertemporal choices - or good loans accordint to hyperbolic discounting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a new approach of intertemporal decision-making is revealed. It is able to determine consumer behaviour more precisely than the discounting utility model (DU) used in neoclassical economics as it accounts for the anomalies of DU model. Therefore I apply hyperbolic discounting model introduced by Loewenstein – Prelec [1992] which is able to describe consumer behaviour more punctually (Lippai [2009]) than the traditional model using constant discount rate. Hence the anomalies of DU model are reviewed. Utilizing the results of the new model, I review the opportunities, which are derived from the differences between constant and hyperbolic discount rate, in the process of loaning. Hereby I reveal those conditions when mutually advantageous credit contracts can be made. Besides, I show how a bank could introduce such measures which would raise its profit whilst the loan is still affordable for consumer according to the assumption of this model. Then I use a simple technical example in order to find out whether these measures come true in privat loaning.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624436">
    <w:multiLevelType w:val="hybridMultilevel"/>
    <w:lvl w:ilvl="0" w:tplc="398395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624436">
    <w:abstractNumId w:val="896244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3498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