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DÓSA</w:t>
            </w:r>
          </w:p>
          <w:p w:rsidR="00C275A3" w:rsidRDefault="00A96AEC" w:rsidP="00C275A3">
            <w:pPr>
              <w:pStyle w:val="Hallgatokepzes"/>
            </w:pPr>
            <w:r>
              <w:t>International Business</w:t>
            </w:r>
            <w:r>
              <w:br/>
            </w:r>
            <w:r w:rsidR="00E77B23">
              <w:t>BA,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JANKA ENIKŐ HOFFMANN</w:t>
            </w:r>
          </w:p>
          <w:p w:rsidR="00DB4822" w:rsidRDefault="00C275A3" w:rsidP="004D7940">
            <w:pPr>
              <w:pStyle w:val="Hallgatokepzes"/>
            </w:pPr>
            <w:r>
              <w:t>Management and Business Administration</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Réka Matolay</w:t>
            </w:r>
          </w:p>
          <w:p w:rsidR="00DB4822" w:rsidRDefault="00DB4822" w:rsidP="00E11062">
            <w:pPr>
              <w:pStyle w:val="Konzulensek"/>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Employment of disabled at big companies- motivation and attitude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essay we are studying the main motivations of employers concerning disabled employment. Our methodology is based on multiple interviews. After introducing theoretical basics we made three interviews with the HR and CSR leaders of three companies, and employees of two foundations. Based on the interviews and the relevant literature we make conclusions concerning the question: why do employers hire disabled employees, we identify the main reasons (personal attachment, economical motivation, CSR motivation, or other) and what the leaders expect from this employment. During our research we ended up on the conclusion that the rehabilitation tax has a severe effect on the employment, however there are other factors such as the very important personal attachment, the organisational culture and the social responsibility.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19311">
    <w:multiLevelType w:val="hybridMultilevel"/>
    <w:lvl w:ilvl="0" w:tplc="467366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19311">
    <w:abstractNumId w:val="978193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30295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