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BALOGH</w:t>
            </w:r>
          </w:p>
          <w:p w:rsidR="00C275A3" w:rsidRDefault="00A96AEC" w:rsidP="00C275A3">
            <w:pPr>
              <w:pStyle w:val="Hallgatokepzes"/>
            </w:pPr>
            <w:r>
              <w:t>International Economy and Business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EDIT ZSÓFIA RUCZ</w:t>
            </w:r>
          </w:p>
          <w:p w:rsidR="00DB4822" w:rsidRDefault="00C275A3" w:rsidP="004D7940">
            <w:pPr>
              <w:pStyle w:val="Hallgatokepzes"/>
            </w:pPr>
            <w:r>
              <w:t>Regional and Environmental Economics</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Matolay</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Fruit of Care - where the mission meets the business logic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paper we make a deep analysis about one of the most successful Hungarian social enterprise, Fruit of Care according to two interviews. We analyze the different stages of development the enterprise has been going through the last couple of years and we highlight the core competences of a successful social entrepreneur. We draw up the network of Fruit of Care’s partners, mainly its special relationship with the sheltered workshops and we introduce the distribution channels focusing on the advantages and challenges the enterprise faces. We give a detailed description of NESsT and its importance in the development of Fruit of Care. Then we give some perspectives which can be expected in the coming years. Finally we list some suggestions, which can be useful for a new social enterprise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77170">
    <w:multiLevelType w:val="hybridMultilevel"/>
    <w:lvl w:ilvl="0" w:tplc="758735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77170">
    <w:abstractNumId w:val="76877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9107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