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ERDÉLYI LEVENTE</w:t>
            </w:r>
          </w:p>
          <w:p w:rsidR="00C275A3" w:rsidRDefault="00A96AEC" w:rsidP="00C275A3">
            <w:pPr>
              <w:pStyle w:val="Hallgatokepzes"/>
            </w:pPr>
            <w:r>
              <w:t>Pénzügy és Számvitel</w:t>
            </w:r>
            <w:r>
              <w:br/>
            </w:r>
            <w:r w:rsidR="00E77B23">
              <w:t>BSc, 6. félév</w:t>
            </w:r>
          </w:p>
          <w:p w:rsidR="00C265CE" w:rsidRPr="009E5FF1" w:rsidRDefault="00E77B23" w:rsidP="00C275A3">
            <w:pPr>
              <w:pStyle w:val="Hallgatokepzes"/>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RÁKOSA PÉTER PÁL</w:t>
            </w:r>
          </w:p>
          <w:p w:rsidR="00DB4822" w:rsidRDefault="00C275A3" w:rsidP="004D7940">
            <w:pPr>
              <w:pStyle w:val="Hallgatokepzes"/>
            </w:pPr>
            <w:r>
              <w:t>pénzügy és számvitel</w:t>
            </w:r>
            <w:r w:rsidR="00A96AEC">
              <w:br/>
              <w:t>BSc, 6. félév</w:t>
            </w:r>
          </w:p>
          <w:p w:rsidR="00DB4822" w:rsidRDefault="00DB4822" w:rsidP="004D7940">
            <w:pPr>
              <w:pStyle w:val="Hallgatointezmeny-kar"/>
            </w:pPr>
            <w:r>
              <w:t>Budapesti Corvinus Egyetem</w:t>
            </w:r>
          </w:p>
          <w:p w:rsidR="00C265CE" w:rsidRPr="009E5FF1" w:rsidRDefault="00DB4822" w:rsidP="004D7940">
            <w:pPr>
              <w:pStyle w:val="Hallgatointezmeny-kar"/>
              <w:rPr>
                <w:b/>
                <w:caps/>
              </w:rPr>
            </w:pPr>
            <w:r>
              <w:t>Gazdálkodástudományi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Krisztina</w:t>
            </w:r>
          </w:p>
          <w:p w:rsidR="00DB4822" w:rsidRDefault="00DB4822" w:rsidP="00E11062">
            <w:pPr>
              <w:pStyle w:val="Konzulensek"/>
            </w:pPr>
            <w:r w:rsidRPr="00DB4822">
              <w:t>adjunktus (BCE - Üzleti Gazdaságtan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Financial Fair Play hatása a futballvállalatok működésére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Dolgozatunkban az UEFA új szabályozási paktumát, az UEFA - Financial Fair Play szabályozást (FFP) tettük a vizsgálatunk tárgyává. Az UEFA ebben a szabályozásban újragondolta az eddig működő licenc rendszerét, és kialakított egy olyan szabályozási és licenc rendszert, melynek célja megteremteni a labdarúgás hosszú távú fenntarthatóságához szükséges környezetet.</w:t>
      </w:r>
    </w:p>
    <w:p>
      <w:pPr>
        <w:pBdr/>
        <w:spacing w:before="240" w:after="240" w:line="240" w:lineRule="auto"/>
        <w:ind w:left="0" w:right="0"/>
        <w:jc w:val="left"/>
      </w:pPr>
      <w:r>
        <w:rPr>
          <w:color w:val="000000"/>
          <w:sz w:val="24"/>
          <w:szCs w:val="24"/>
        </w:rPr>
        <w:t xml:space="preserve">A dolgozat a Financial Fair Play jövőbeli lehetséges hatásait vizsgálja meg a futballvállalat, mint gazdasági és sport érdekeket megtestesítő és követő szervezetre. A bemutatás alapvető fogalmak tisztázásával és a világban fellelhető sportüzleti modellek összehasonlításával kezdődik, majd az európai klubfutballban jelen levő európai értékek, hagyományok feltárásával folytatódik. Ezek megértése elengedhetetlen feltétele, hogy a Financial Fair Play céljait és a futballvilág szereplőinek gondolkodását, problémákhoz való hozzáállását megértsük. Ezt követően a dolgozat fő témájaként, az érintett elméletet alapul véve, szemügyre vesszük a futballvállalatok érintettjeit, és egyesével megvizsgáljuk az érdekeik és értékeik szerint az új szabályozás lehetséges hatásait.</w:t>
      </w:r>
    </w:p>
    <w:p>
      <w:pPr>
        <w:pBdr/>
        <w:spacing w:before="240" w:after="240" w:line="240" w:lineRule="auto"/>
        <w:ind w:left="0" w:right="0"/>
        <w:jc w:val="left"/>
      </w:pPr>
      <w:r>
        <w:rPr>
          <w:color w:val="000000"/>
          <w:sz w:val="24"/>
          <w:szCs w:val="24"/>
        </w:rPr>
        <w:t xml:space="preserve">A továbbiakban megnézzük a szabályozás hatását a futballvállalati stratégiákra, melyek részletesebb kifejtése egy jövőbeli munka része lehet. Végül az összefoglalásban ismertetjük a vizsgálataink eredményét és felvetünk a szabályozást kiegészítő, javító alternatív megoldásokat és más kutatási területeket is megemlítünk. A záró szakaszban a vizsgálataink eredményét megnézzük az általunk összeállított kérdőív tükrében, mely több mint 900 ember véleményéből tevődik össze. A két vizsgálat összevetéséből olyan ötletek kerülnek felszínre, mint egy Európai Szuperliga gondolata és még további izgalmas ötletek arra, hogyan lehetne az európai futball hosszú távú fenntarthatóságát elősegíteni, és ehhez milyen kiegészítések szükségesek a Financial Fair Play szabályozásban.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08079">
    <w:multiLevelType w:val="hybridMultilevel"/>
    <w:lvl w:ilvl="0" w:tplc="47203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08079">
    <w:abstractNumId w:val="999080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68032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