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ERDÉLYI</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PETER PAL RAKOSA</w:t>
            </w:r>
          </w:p>
          <w:p w:rsidR="00DB4822" w:rsidRDefault="00C275A3" w:rsidP="004D7940">
            <w:pPr>
              <w:pStyle w:val="Hallgatokepzes"/>
            </w:pPr>
            <w:r>
              <w:t>finance and accounting</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András PhD</w:t>
            </w:r>
          </w:p>
          <w:p w:rsidR="00DB4822" w:rsidRDefault="00DB4822" w:rsidP="00E11062">
            <w:pPr>
              <w:pStyle w:val="Konzulensek"/>
            </w:pPr>
            <w:r w:rsidRPr="00DB4822">
              <w:t>assistant professor (Corvinus University - Department of Business Studies),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Financial Fair Play on Running of Football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our study is the new UEFA regulation, the UEFA’s Financial Fair Play (FFP). In this regulation UEFA reformed its licence system, which was effective so far. They formed a new regulation and licence system, which of the main goal is creating good conditions for the sustainability of football in the long run.</w:t>
      </w:r>
    </w:p>
    <w:p>
      <w:pPr>
        <w:pBdr/>
        <w:spacing w:before="240" w:after="240" w:line="240" w:lineRule="auto"/>
        <w:ind w:left="0" w:right="0"/>
        <w:jc w:val="left"/>
      </w:pPr>
      <w:r>
        <w:rPr>
          <w:color w:val="000000"/>
          <w:sz w:val="24"/>
          <w:szCs w:val="24"/>
        </w:rPr>
        <w:t xml:space="preserve">In this paper the possible effects of the Financial Fair Play are analysed on football company, as on economic and sport interests embodying and following organisation. The introduction begins with basic definitions and with the comparison of two different sports business models. It continues the listing of european values and traditions, which can be found in european club football. Knowledge of these factors is absolute necessary to understand goals of the Financial Fair Play and its working as well as how it reflects in approaches of the actors of football world. After introduction the analysis is based on stakeholder theory. We have a look at the stakeholders of football companies one by one, in search of possible effects of the new regulation.</w:t>
      </w:r>
    </w:p>
    <w:p>
      <w:pPr>
        <w:pBdr/>
        <w:spacing w:before="240" w:after="240" w:line="240" w:lineRule="auto"/>
        <w:ind w:left="0" w:right="0"/>
        <w:jc w:val="left"/>
      </w:pPr>
      <w:r>
        <w:rPr>
          <w:color w:val="000000"/>
          <w:sz w:val="24"/>
          <w:szCs w:val="24"/>
        </w:rPr>
        <w:t xml:space="preserve">Following that we take a look the assessment of FFP on strategies of football companies, a more detailed version of that could be another paper in the future. Finally, in the last chapters, we write about the conclusion of our analysis and suggest additional proposals for improving of FFP. We mention other additional research areas also. Our conclusion is reviewed in the light of own survey which was filled by more than 900 people. Thanks to the comparison we can tell more about the idea of European Superleague and other ones too, which may be able to make the prospects of european football more stable in the following years and after.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79411">
    <w:multiLevelType w:val="hybridMultilevel"/>
    <w:lvl w:ilvl="0" w:tplc="64418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79411">
    <w:abstractNumId w:val="46179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77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