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BAKONYI</w:t>
            </w:r>
          </w:p>
          <w:p w:rsidR="00C275A3" w:rsidRDefault="00A96AEC" w:rsidP="00C275A3">
            <w:pPr>
              <w:pStyle w:val="Hallgatokepzes"/>
            </w:pPr>
            <w:r>
              <w:t>leadership and management</w:t>
            </w:r>
            <w:r>
              <w:br/>
            </w:r>
            <w:r w:rsidR="00E77B23">
              <w:t>MSc, 5.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GERGŐ DRABANT</w:t>
            </w:r>
          </w:p>
          <w:p w:rsidR="00DB4822" w:rsidRDefault="00C275A3" w:rsidP="004D7940">
            <w:pPr>
              <w:pStyle w:val="Hallgatokepzes"/>
            </w:pPr>
            <w:r>
              <w:t>finance and accounting</w:t>
            </w:r>
            <w:r w:rsidR="00A96AEC">
              <w:br/>
              <w:t>BSc, 8.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Édes</w:t>
            </w:r>
          </w:p>
          <w:p w:rsidR="00DB4822" w:rsidRDefault="00DB4822" w:rsidP="00E11062">
            <w:pPr>
              <w:pStyle w:val="Konzulensek"/>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can the railway freight be more competitive?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Albeit both the Hungarian and the European development policy focus on the railway freight, in practice the roadway freight is the dominant transportation mode. In this paper this contradiction is analyzed in the view of competitiveness.</w:t>
      </w:r>
      <w:r>
        <w:rPr>
          <w:color w:val="000000"/>
          <w:sz w:val="24"/>
          <w:szCs w:val="24"/>
        </w:rPr>
        <w:br/>
        <w:t xml:space="preserve">The aim of the paper to identify several points of development which are enforce competitiveness of railway freight but not cause disadvantage to the roadway. The analysis starts with the identification of consumer demands and follows with the examination of the supplier industries (such as energetic, vehicles, and infrastructure). As a result even the supplier industries of the railway freight seem less competitive than the roadway’s ones.</w:t>
      </w:r>
      <w:r>
        <w:rPr>
          <w:color w:val="000000"/>
          <w:sz w:val="24"/>
          <w:szCs w:val="24"/>
        </w:rPr>
        <w:br/>
        <w:t xml:space="preserve">At the end of the paper several ways of development are identified to enforce the competitiveness of railway freight.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08436">
    <w:multiLevelType w:val="hybridMultilevel"/>
    <w:lvl w:ilvl="0" w:tplc="73942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08436">
    <w:abstractNumId w:val="24008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536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