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JOZSEF FEJES</w:t>
            </w:r>
          </w:p>
          <w:p w:rsidR="00C275A3" w:rsidRDefault="00A96AEC" w:rsidP="00C275A3">
            <w:pPr>
              <w:pStyle w:val="Hallgatokepzes"/>
            </w:pPr>
            <w:r>
              <w:t>Business Development</w:t>
            </w:r>
            <w:r>
              <w:br/>
            </w:r>
            <w:r w:rsidR="00E77B23">
              <w:t>MSc, 3.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Krisztian Tibor Cubak PhD</w:t>
            </w:r>
          </w:p>
          <w:p w:rsidR="00DB4822" w:rsidRDefault="00DB4822" w:rsidP="00E11062">
            <w:pPr>
              <w:pStyle w:val="Konzulensek"/>
            </w:pPr>
            <w:r w:rsidRPr="00DB4822">
              <w:t>Assistant professor,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New dimension in valuing service sector companies: revealing the value drivers of Hungarian management consulting firms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this study is to reveal the most unidentifiable value parameters of the Hungarian management consulting firms. The valuation of manufacturing firms is commonly accepted by the usage of DCF models, options or other comparative methods. But in these days, when knowledge based companies rule the markets, a newly emphasised resource is appearing on the horizon: this recourse is knowledge. Knowledge intensive business sector firms like management consulting companies are mistier to value, because its capital structure doesn’t really contain considerable and measurable assets in accounting view, it contains intangible assets instead. The assessment of virtual capital raises many questions around the valuation of a knowledge based company. These can be queries about the ownership of knowledge, the value creating potential of knowledge, the value of relationship and expertise and so on. This paper stands for answering these questions and reveals the difficulties of service sector company valuation. Furthermore, the study addresses some correction in valuation methods and adds a new view to the valuation of invisible assets in consulting firms.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309346">
    <w:multiLevelType w:val="hybridMultilevel"/>
    <w:lvl w:ilvl="0" w:tplc="670211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309346">
    <w:abstractNumId w:val="633093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55557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