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VIOLETTA PLEIZLER</w:t>
            </w:r>
          </w:p>
          <w:p w:rsidR="00C275A3" w:rsidRDefault="00A96AEC" w:rsidP="00C275A3">
            <w:pPr>
              <w:pStyle w:val="Hallgatokepzes"/>
            </w:pPr>
            <w:r>
              <w:t>International Economy and Business </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Miklós</w:t>
            </w:r>
          </w:p>
          <w:p w:rsidR="00DB4822" w:rsidRDefault="00DB4822" w:rsidP="00E11062">
            <w:pPr>
              <w:pStyle w:val="Konzulensek"/>
            </w:pPr>
            <w:r w:rsidRPr="00DB4822">
              <w:t> professor’s assistant,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the economic integration maturity of Visegrad Fours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economic integration maturity of the Visegrad countries was the basic condition for the successful accession to the European Union. One country is mature for the integration, when it possesses the following features: functioning market economy, competitiveness, macroeconomic stability, convergence, finance ability. The essay examinest he integration maturity of the Visegrad Fours on these fields. The macroeconomic indexes and the reports of the international institutions were the basis of the survey.</w:t>
      </w:r>
    </w:p>
    <w:p>
      <w:pPr>
        <w:widowControl w:val="on"/>
        <w:pBdr/>
        <w:spacing w:before="240" w:after="240" w:line="240" w:lineRule="auto"/>
        <w:ind w:left="0" w:right="0"/>
        <w:jc w:val="left"/>
      </w:pPr>
      <w:r>
        <w:rPr>
          <w:color w:val="000000"/>
          <w:sz w:val="24"/>
          <w:szCs w:val="24"/>
        </w:rPr>
        <w:t xml:space="preserve">The fulfillment of the accession criteria do not mean that a country became mature for the integration. The main accession critera of the EU were the „acquis communautaire” and Copenhagen criteria. The candidate countires fulfilled these conditions until the Eastern enlargement.</w:t>
      </w:r>
    </w:p>
    <w:p>
      <w:pPr>
        <w:widowControl w:val="on"/>
        <w:pBdr/>
        <w:spacing w:before="240" w:after="240" w:line="240" w:lineRule="auto"/>
        <w:ind w:left="0" w:right="0"/>
        <w:jc w:val="left"/>
      </w:pPr>
      <w:r>
        <w:rPr>
          <w:color w:val="000000"/>
          <w:sz w:val="24"/>
          <w:szCs w:val="24"/>
        </w:rPr>
        <w:t xml:space="preserve">The new member states became functioning market economy similarly to the old member states until 2004. In competitiveness the Visegrad countries caught up or approached the old member states of the EU which integrated earlier successful. The economies of Visegrad countries grew faster than the economies of the old member states before the global economic crises - which was in part due to the foreign direct investments of the old member states. The convergence is the prerequisite of the successful integration. The Visegrad countries started the catch up to old member states. Only the Slovak Republic could join to the eurozone but all Visegrad countries had problem with the fulfillment of Maastricht criteria. The high government debt-to-GDP ratio is serious problem for Hungary. </w:t>
      </w:r>
    </w:p>
    <w:p>
      <w:pPr>
        <w:widowControl w:val="on"/>
        <w:pBdr/>
        <w:spacing w:before="240" w:after="240" w:line="240" w:lineRule="auto"/>
        <w:ind w:left="0" w:right="0"/>
        <w:jc w:val="left"/>
      </w:pPr>
      <w:r>
        <w:rPr>
          <w:color w:val="000000"/>
          <w:sz w:val="24"/>
          <w:szCs w:val="24"/>
        </w:rPr>
        <w:t xml:space="preserve">The new member states gained more than they lost with the integration. According to the examined aspects, the Czech Republic and the Slovak Republic were better prepared for the integration than Hungary and Poland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75041">
    <w:multiLevelType w:val="hybridMultilevel"/>
    <w:lvl w:ilvl="0" w:tplc="78601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75041">
    <w:abstractNumId w:val="979750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2918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