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DAVID CSETNYAK</w:t>
            </w:r>
          </w:p>
          <w:p w:rsidR="00C275A3" w:rsidRDefault="00A96AEC" w:rsidP="00C275A3">
            <w:pPr>
              <w:pStyle w:val="Hallgatokepzes"/>
            </w:pPr>
            <w:r>
              <w:t>International Relations</w:t>
            </w:r>
            <w:r>
              <w:br/>
            </w:r>
            <w:r w:rsidR="00E77B23">
              <w:t>BSc, 8. semester</w:t>
            </w:r>
          </w:p>
          <w:p w:rsidR="00C265CE" w:rsidRPr="009E5FF1" w:rsidRDefault="00E77B23" w:rsidP="00C275A3">
            <w:pPr>
              <w:pStyle w:val="Hallgatokepzes"/>
              <w:rPr>
                <w:b/>
                <w:caps/>
              </w:rPr>
            </w:pPr>
            <w:r>
              <w:t>Corvinus University of Budapest</w:t>
            </w:r>
            <w:r w:rsidR="00C275A3">
              <w:br/>
            </w:r>
            <w:r w:rsidR="00DB4822">
              <w:t>Faculty of Social Sciences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Elisabeth Kardos-Kaponyi</w:t>
            </w:r>
          </w:p>
          <w:p w:rsidR="00DB4822" w:rsidRDefault="00DB4822" w:rsidP="00E11062">
            <w:pPr>
              <w:pStyle w:val="Konzulensek"/>
            </w:pPr>
            <w:r w:rsidRPr="00DB4822">
              <w:t>Dr. Habil. Professor lecturer,  Deputy-head of the Institute for International Studies , BCE 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Utopia and challenge.The external dimension of the European Union energy policy. </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The United Nations General Assembly declared 2012 for the International Year of Sustainable Energy. Not by accident. The Kyoto Protocol's first commitment and the second period of the EU emissions trading scheme are bound to be expired. It means, the world faces essential and sensitive decisions requiring consensus agreements in order to take significant steps against the climate change in the future. To address the arising hot topics of the world energy trends the European Union must represent at least among the member states one defined position. Could we talk about a coherent and well-balanced external energy policy position of the European Union? Unfortunately the answer is clearly no.</w:t>
      </w:r>
    </w:p>
    <w:p>
      <w:pPr>
        <w:pBdr/>
        <w:spacing w:before="240" w:after="240" w:line="240" w:lineRule="auto"/>
        <w:ind w:left="0" w:right="0"/>
        <w:jc w:val="left"/>
      </w:pPr>
      <w:r>
        <w:rPr>
          <w:color w:val="000000"/>
          <w:sz w:val="24"/>
          <w:szCs w:val="24"/>
        </w:rPr>
        <w:t xml:space="preserve">The assumption of my thesis is that the EU's common voice is missing, the member states are about to ensure and secure their own national energy goals. The paper intended to demonstrate that statement through three selected events of 2011. The Fukushima disaster, the Durban Climate Conference and the completion of the Nord Stream pipeline contributed even more to the fragmentation of the existing fragile common position.</w:t>
      </w:r>
    </w:p>
    <w:p>
      <w:pPr>
        <w:pBdr/>
        <w:spacing w:before="240" w:after="240" w:line="240" w:lineRule="auto"/>
        <w:ind w:left="0" w:right="0"/>
        <w:jc w:val="left"/>
      </w:pPr>
      <w:r>
        <w:rPr>
          <w:color w:val="000000"/>
          <w:sz w:val="24"/>
          <w:szCs w:val="24"/>
        </w:rPr>
        <w:t xml:space="preserve">As a conclusion, the thesis figured out that the three common energy policy targets of the EU, like the energy security, the competitiveness, and the sustainability behave like a two-edged word: fulfilling all of them on European level seems utopian, therefore managing them effectively is rather challenging.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898068">
    <w:multiLevelType w:val="hybridMultilevel"/>
    <w:lvl w:ilvl="0" w:tplc="4075827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898068">
    <w:abstractNumId w:val="6689806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819321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