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BAJKÓ</w:t>
            </w:r>
          </w:p>
          <w:p w:rsidR="00C275A3" w:rsidRDefault="00A96AEC" w:rsidP="00C275A3">
            <w:pPr>
              <w:pStyle w:val="Hallgatokepzes"/>
            </w:pPr>
            <w:r>
              <w:t>Actuarial and Financial Mathematics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ANITA MAKNICS</w:t>
            </w:r>
          </w:p>
          <w:p w:rsidR="00DB4822" w:rsidRDefault="00C275A3" w:rsidP="004D7940">
            <w:pPr>
              <w:pStyle w:val="Hallgatokepzes"/>
            </w:pPr>
            <w:r>
              <w:t>Actuarial and Financial Mathematics</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TÓTH</w:t>
            </w:r>
          </w:p>
          <w:p w:rsidR="00C275A3" w:rsidRDefault="00A96AEC" w:rsidP="00C275A3">
            <w:pPr>
              <w:pStyle w:val="Hallgatokepzes"/>
            </w:pPr>
            <w:r>
              <w:t>Actuarial and Financial Mathematics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Vékás</w:t>
            </w:r>
          </w:p>
          <w:p w:rsidR="00DB4822" w:rsidRDefault="00DB4822" w:rsidP="00E11062">
            <w:pPr>
              <w:pStyle w:val="Konzulensek"/>
            </w:pPr>
            <w:r w:rsidRPr="00DB4822">
              <w:t>professor’s assistant,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sustainability of the Hungarian pension system - A case study using the Lee-Carter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sustainability of the pension system is problematic in Hungary as in many other countries worldwide. Our paper addresses the issues with the sustainability of pension systems due to aging society. We forecast the population of Hungary with the Lee-Carter model then we analyze the sustainability of the pension system of Hungary. We also summarize the theory of Lee-Carter model with its extensions and applications. We do not have to emphasize the importance and actuality of our topic, since the long-term sustainability and financing of the Hungarian pension system is a key issue nowadays.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paper attempts to answer the following question: when will the Hungarian pension system exhibit deficit besides specified parameters? Then we would like to calculate the proper contribution rate and retirement age, which are sufficient to avoid deficit. What is more, in the course of the analysis we get the surplus information; how the number of the population will change to the end of the 2020s. We are also able to highlight the extension opportunities of the Lee-Carter model first published in 1992.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21128">
    <w:multiLevelType w:val="hybridMultilevel"/>
    <w:lvl w:ilvl="0" w:tplc="20473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21128">
    <w:abstractNumId w:val="81721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590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