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BOBÁK</w:t>
            </w:r>
          </w:p>
          <w:p w:rsidR="00C275A3" w:rsidRDefault="00A96AEC" w:rsidP="00C275A3">
            <w:pPr>
              <w:pStyle w:val="Hallgatokepzes"/>
            </w:pPr>
            <w:r>
              <w:t>International Relations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ZSOLT UDVARI</w:t>
            </w:r>
          </w:p>
          <w:p w:rsidR="00DB4822" w:rsidRDefault="00C275A3" w:rsidP="004D7940">
            <w:pPr>
              <w:pStyle w:val="Hallgatokepzes"/>
            </w:pPr>
            <w:r>
              <w:t>Applied Economics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Pintér</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Coalition formation and the Russian oligarchs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paper analyses the relation between the state power and the oligarchy through the example of the Russian oligarchs during the Yeltsin administration and the first administration of Putin. The tycoons sometimes cooperated, sometimes had conflicts with each other or with the government. We use game theoretic tools to the better understanding of the phenomenon. The situation has both cooperative and non-cooperative characteristics as well, so creating the proper framework for analysis we use the results of both branches of game theory. Our proposed model, the stochastic game in partition function form with restricted cooperation is able to describe the history mentioned above, and other similar situations, in which the formation of coalitions plays an important role. </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22460">
    <w:multiLevelType w:val="hybridMultilevel"/>
    <w:lvl w:ilvl="0" w:tplc="47239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22460">
    <w:abstractNumId w:val="34622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6986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