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MÁNFAI MARCELL ZOLTÁN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Pozsgai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Európai Gazdaságtörténeti és Gazdaságfejlesztési Kutatóközpont),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skót gazdaság múltja és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300" w:lineRule="auto"/>
        <w:ind w:left="0" w:right="0"/>
        <w:jc w:val="both"/>
      </w:pPr>
      <w:r>
        <w:rPr>
          <w:rFonts w:ascii="'times new roman'" w:hAnsi="'times new roman'" w:cs="'times new roman'"/>
          <w:color w:val="000000"/>
          <w:sz w:val="24"/>
          <w:szCs w:val="24"/>
        </w:rPr>
        <w:t xml:space="preserve">Skócia gazdaságáról írt dolgozatomat kettős cél motiválta. Az első a személyes érdeklődés a skót gazdaság, történelem és kultúra iránt: rendkívül érdekesnek találtam a témakört már korábban is. Skóciáról külső megfigyelőként sokan vonnak le felületes következtetéseket, amelyeket a behatóbb vizsgálat erősen árnyalhat. Vannak, akik már csak az Egyesült Királyság kelta hagyományaira büszke britjeiként gondolnak a skótokra, amely benyomást erősít a közös nyelv. Mások - közép-európai szemmel nézvén a helyzetet - nem értik, Skócia miért nem törekszik minden eszközzel a nemzeti függetlenségre. A skótok identitását éppen saját helyzetük árnyalt értelmezése okán bonyolultabb elemezni, ám az én tetszésemet éppen emiatt nyerte el a feladat. A második cél egészíti ki a dolgozatot, és jeleníti meg a gazdasági folyamatok kielemezését. Szándékom minél behatóbb választ találni arra a kérdésre: reális-e a skót függetlenség a XXI. században? A történelmi és társadalmi tapasztalatok alapján úgy vélem, Skócia polgárai ezt a kérdést elsősorban gazdasági alapon válaszolhatják meg. Lehetőségük pedig a közeljövőben lesz a döntésre, hiszen a skót parlamentben többséggel bíró kormány 2014 őszén népszavazást kíván kiírni a kérdésről.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38443">
    <w:multiLevelType w:val="hybridMultilevel"/>
    <w:lvl w:ilvl="0" w:tplc="35745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38443">
    <w:abstractNumId w:val="461384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550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