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GYÖNGYVÉR KIS</w:t>
            </w:r>
          </w:p>
          <w:p w:rsidR="00C275A3" w:rsidRDefault="00A96AEC" w:rsidP="00C275A3">
            <w:pPr>
              <w:pStyle w:val="Hallgatokepzes"/>
            </w:pPr>
            <w:r>
              <w:t>Applied economics</w:t>
            </w:r>
            <w:r>
              <w:br/>
            </w:r>
            <w:r w:rsidR="00E77B23">
              <w:t>BSc, 2.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Pozsgai</w:t>
            </w:r>
          </w:p>
          <w:p w:rsidR="00DB4822" w:rsidRDefault="00DB4822" w:rsidP="00E11062">
            <w:pPr>
              <w:pStyle w:val="Konzulensek"/>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Guildsmen as Entrepreneurs and their Adaptation to the Market. The Pottery of Mezőtúr in the 18th and 19th Centuries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is about the history of the famous pottery guild of Mezőtúr which was known all over the country. Although the guilds were feudal organizations they went through significant changes which apparent contradiction I encountered during my researches. The adaptation force became very important from the 19th century, when former black ceramics, which were unchanged for centuries, were followed by pots with new colours, patterns, technics and raw materials. The accommodation to the taste of the peasantry, which became the most meaningful circle of buyers, played an important role in the development of the new Mezőtúr ornament style.</w:t>
      </w:r>
    </w:p>
    <w:p>
      <w:pPr>
        <w:widowControl w:val="on"/>
        <w:pBdr/>
        <w:spacing w:before="240" w:after="240" w:line="240" w:lineRule="auto"/>
        <w:ind w:left="0" w:right="0"/>
        <w:jc w:val="left"/>
      </w:pPr>
      <w:r>
        <w:rPr>
          <w:color w:val="000000"/>
          <w:sz w:val="24"/>
          <w:szCs w:val="24"/>
        </w:rPr>
        <w:t xml:space="preserve">In the paper I discuss other external influences as well which significantly affected the development of the pottery of Mezőtúr. I analysed the Turkish influence and the effect of the pottery guild in Hódmezővásárhely especially on the glazed pots which were really considerable. Potters, however, who lived in other settlements were also influenced by the potters of Mezőtúr, because these ceramics were so popular in the country that they were often imitated.</w:t>
      </w:r>
    </w:p>
    <w:p>
      <w:pPr>
        <w:widowControl w:val="on"/>
        <w:pBdr/>
        <w:spacing w:before="240" w:after="240" w:line="240" w:lineRule="auto"/>
        <w:ind w:left="0" w:right="0"/>
        <w:jc w:val="left"/>
      </w:pPr>
      <w:r>
        <w:rPr>
          <w:color w:val="000000"/>
          <w:sz w:val="24"/>
          <w:szCs w:val="24"/>
        </w:rPr>
        <w:t xml:space="preserve">In order to get a full picture about the changes of the guild, I considered important to present the life in the pottery guild of Mezőtúr. Significant changes took place inside the body of the guild in the 19th century, mostly in the relationship between the masters and the journeymen and apprentices.</w:t>
      </w:r>
    </w:p>
    <w:p>
      <w:pPr>
        <w:widowControl w:val="on"/>
        <w:pBdr/>
        <w:spacing w:before="240" w:after="240" w:line="240" w:lineRule="auto"/>
        <w:ind w:left="0" w:right="0"/>
        <w:jc w:val="left"/>
      </w:pPr>
      <w:r>
        <w:rPr>
          <w:color w:val="000000"/>
          <w:sz w:val="24"/>
          <w:szCs w:val="24"/>
        </w:rPr>
        <w:t xml:space="preserve">I have also examined the favourable settings which allowed the establishment of the guild. Apart from the good geographical conditions, the first quality clay and fortunate location, I have presented the role of the well-known nationwide fairs in Mezőtúr.</w:t>
      </w:r>
    </w:p>
    <w:p>
      <w:pPr>
        <w:widowControl w:val="on"/>
        <w:pBdr/>
        <w:spacing w:before="240" w:after="240" w:line="240" w:lineRule="auto"/>
        <w:ind w:left="0" w:right="0"/>
        <w:jc w:val="left"/>
      </w:pPr>
      <w:r>
        <w:rPr>
          <w:color w:val="000000"/>
          <w:sz w:val="24"/>
          <w:szCs w:val="24"/>
        </w:rPr>
        <w:t xml:space="preserve">After the liquidation of the guilds in 1872 several attempts happened in order to operate the Mezőtúr pottery in another way at the end of the 19th century and in the beginning of the 20th century. I have summarized the individual (Balázs Badár’s artistic trend) and the collective (pottery courses) strategies as well.</w:t>
      </w:r>
    </w:p>
    <w:p>
      <w:pPr>
        <w:widowControl w:val="on"/>
        <w:pBdr/>
        <w:spacing w:before="240" w:after="240" w:line="240" w:lineRule="auto"/>
        <w:ind w:left="0" w:right="0"/>
        <w:jc w:val="left"/>
      </w:pPr>
      <w:r>
        <w:rPr>
          <w:color w:val="000000"/>
          <w:sz w:val="24"/>
          <w:szCs w:val="24"/>
        </w:rPr>
        <w:t xml:space="preserve">Finally I have mentioned briefly the crisis of the pottery in Mezőtúr, and the liquidation in the 1950’s.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92815">
    <w:multiLevelType w:val="hybridMultilevel"/>
    <w:lvl w:ilvl="0" w:tplc="73231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92815">
    <w:abstractNumId w:val="998928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8973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