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ZSIGMOND PALVOLGYI</w:t>
            </w:r>
          </w:p>
          <w:p w:rsidR="00C275A3" w:rsidRDefault="00A96AEC" w:rsidP="00C275A3">
            <w:pPr>
              <w:pStyle w:val="Hallgatokepzes"/>
            </w:pPr>
            <w:r>
              <w:t>finance and accounting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Kajári Karolina</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MAVAD, or the privatization and failed of a monopoly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monography mainly attends to the last decade of MAVAD’s history, Hungary’s biggest game trader and hunt-organizer company until now, particularly dealing with its privatization.</w:t>
      </w:r>
      <w:r>
        <w:rPr>
          <w:color w:val="000000"/>
          <w:sz w:val="24"/>
          <w:szCs w:val="24"/>
        </w:rPr>
        <w:br/>
        <w:t xml:space="preserve">   Until 1983, when the monopoly rigths of MAVAD had been lost, the firm was the only one in Hungary, which was allowed to organize hunts for foreign hunters on the territory of our country. Tha company has saved its leading position even after the liberarization of the market, thanks to its well-known name amongst foreign countries and their advanced business relationships. The regime-change was followed by the privatization of the company, in the first schedule the business partners of the company could buy MAVAD’s shares below par, and in a few years they could turn their stake to account with a six-fold gain, thanks to the second schedule of privatization. By this time financial investors gained stake of the company, but they soon got disappointed in the firm, and made an effort to rescue their invested capita as soon as possible.</w:t>
      </w:r>
      <w:r>
        <w:rPr>
          <w:color w:val="000000"/>
          <w:sz w:val="24"/>
          <w:szCs w:val="24"/>
        </w:rPr>
        <w:br/>
        <w:t xml:space="preserve">   According to the hypothesis of the monography, the financial investors’ lack of trust led into the end of MAVAD’s half-century operative performance at the beginning of the 2000’s, falling apart to several hunt-organizer offices. The history of MAVAD can appear as an example, what it is like if a conflict in principal-agent relationship effects the end of a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97953">
    <w:multiLevelType w:val="hybridMultilevel"/>
    <w:lvl w:ilvl="0" w:tplc="20051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97953">
    <w:abstractNumId w:val="81797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806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