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ANTAL</w:t>
            </w:r>
          </w:p>
          <w:p w:rsidR="00C275A3" w:rsidRDefault="00A96AEC" w:rsidP="00C275A3">
            <w:pPr>
              <w:pStyle w:val="Hallgatokepzes"/>
            </w:pPr>
            <w:r>
              <w:t>international business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Bara PhD</w:t>
            </w:r>
          </w:p>
          <w:p w:rsidR="00DB4822" w:rsidRDefault="00DB4822" w:rsidP="00E11062">
            <w:pPr>
              <w:pStyle w:val="Konzulensek"/>
            </w:pPr>
            <w:r w:rsidRPr="00DB4822">
              <w:t>docent at Corvinus University of Budapest by Department of Comparative Economics,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on operating of universal service in the Hungarian electricity sector concerning the number of the change of providers and new trends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intend to demonstrate the operating of the universal service in Hungary concerning the number of the change of providers. My research is based on the effect of liberalisation of electricity sector on public utility providers that turned into universal service providers.</w:t>
      </w:r>
    </w:p>
    <w:p>
      <w:pPr>
        <w:pBdr/>
        <w:spacing w:before="240" w:after="240" w:line="240" w:lineRule="auto"/>
        <w:ind w:left="0" w:right="0"/>
        <w:jc w:val="left"/>
      </w:pPr>
      <w:r>
        <w:rPr>
          <w:color w:val="000000"/>
          <w:sz w:val="24"/>
          <w:szCs w:val="24"/>
        </w:rPr>
        <w:br/>
        <w:t xml:space="preserve">My main assumption is that there is no competition in the interest of simple residental electricity consumers in the residental electricity sector. I try to prove this trend and find the root of this pehomenon. Furthermore, I make an attemp to find an adequate solution in order to solve this above mentioned problem in the residental segment. Nowadays the number of the changing provider is not significant in the residental electricity segment that is based on regulated prices. However, with the appearence of the new telecommunicational and electricity providers offering new, complex bundled service there is going to be an outstanding change concerning the residental electricity segment that might pose threat to the universal providers.</w:t>
      </w:r>
    </w:p>
    <w:p>
      <w:pPr>
        <w:pBdr/>
        <w:spacing w:before="240" w:after="240" w:line="240" w:lineRule="auto"/>
        <w:ind w:left="0" w:right="0"/>
        <w:jc w:val="left"/>
      </w:pPr>
      <w:r>
        <w:rPr>
          <w:color w:val="000000"/>
          <w:sz w:val="24"/>
          <w:szCs w:val="24"/>
        </w:rPr>
        <w:t xml:space="preserve"> After proving my hypothesis, my main goal is to examine the effect of the new companies offering service bundling, where the Magyar Telekom Nyrt. and Magyar Villamos Művek Zrt. possess big implication, that encouraged me to examine the altering of inclination of changing of providers as well. The diversification of the telecommunicational companies trying to find an outbreak position might mean a proper solution in the interest of beginning a real competition in the residental electricity segment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60155">
    <w:multiLevelType w:val="hybridMultilevel"/>
    <w:lvl w:ilvl="0" w:tplc="57175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60155">
    <w:abstractNumId w:val="39460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276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