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BRANYICZKI</w:t>
            </w:r>
          </w:p>
          <w:p w:rsidR="00C275A3" w:rsidRDefault="00A96AEC" w:rsidP="00C275A3">
            <w:pPr>
              <w:pStyle w:val="Hallgatokepzes"/>
            </w:pPr>
            <w:r>
              <w:t>International Business in English</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Chikan</w:t>
            </w:r>
          </w:p>
          <w:p w:rsidR="00DB4822" w:rsidRDefault="00DB4822" w:rsidP="00E11062">
            <w:pPr>
              <w:pStyle w:val="Konzulensek"/>
            </w:pPr>
            <w:r w:rsidRPr="00DB4822">
              <w:t>Professor (CUB - Logistics and Supply Chain Management),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Capitalism, Innovation and Competitiveness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Capitalism was highly critisied after the crisis in 2008. The question arises if the criticisms are legit. assume that capitaism innovation and competitiveness come along together at a country level. As capitaism drives innovation the country becomes more competitive. My hypothesis is that the rankings of the Index of Economic Freedom (IEF), Global Innovation Index (GII) and Global Competitiveness Index (GCI) are correlating. By examining the three rankings I am to underline the relation between capitalism, innovation and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36935">
    <w:multiLevelType w:val="hybridMultilevel"/>
    <w:lvl w:ilvl="0" w:tplc="15557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36935">
    <w:abstractNumId w:val="76036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966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