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ADRIENN HUSZÁR</w:t>
            </w:r>
          </w:p>
          <w:p w:rsidR="00C275A3" w:rsidRDefault="00A96AEC" w:rsidP="00C275A3">
            <w:pPr>
              <w:pStyle w:val="Hallgatokepzes"/>
            </w:pPr>
            <w:r>
              <w:t>Economic analyst</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SZABOLCS SZENTMIHALYI</w:t>
            </w:r>
          </w:p>
          <w:p w:rsidR="00DB4822" w:rsidRDefault="00C275A3" w:rsidP="004D7940">
            <w:pPr>
              <w:pStyle w:val="Hallgatokepzes"/>
            </w:pPr>
            <w:r>
              <w:t>Economic analyst</w:t>
            </w:r>
            <w:r w:rsidR="00A96AEC">
              <w:br/>
              <w:t>MSc, 4.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Economics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Gergely Varga</w:t>
            </w:r>
          </w:p>
          <w:p w:rsidR="00DB4822" w:rsidRDefault="00DB4822" w:rsidP="00E11062">
            <w:pPr>
              <w:pStyle w:val="Konzulensek"/>
            </w:pPr>
            <w:r w:rsidRPr="00DB4822">
              <w:t>Pprofessor’s assistant, BCE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the effects of government spending reversal in DSGE models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analyze government spending shocks in our dynamic stochastic general equilibrium model, where in the case of high debt level government can cut its expenditures back with specified debt and tax rules. In this way we defined endogenous fiscal policy variables in stead of exogenous ones. We examined that, how can this government spending reversal change the effects of spending shocks on behavior of households, especially on consumption. Moreover that, how can an expected fiscal consolidation amplify the effects of current government expansion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473797">
    <w:multiLevelType w:val="hybridMultilevel"/>
    <w:lvl w:ilvl="0" w:tplc="6616542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473797">
    <w:abstractNumId w:val="944737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60633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