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GYÁRFÁS NATALIE</w:t>
            </w:r>
          </w:p>
          <w:p w:rsidR="00C275A3" w:rsidRDefault="00A96AEC" w:rsidP="00C275A3">
            <w:pPr>
              <w:pStyle w:val="Hallgatokepzes"/>
            </w:pPr>
            <w:r>
              <w:t>Pénzügy és számvitel</w:t>
            </w:r>
            <w:r>
              <w:br/>
            </w:r>
            <w:r w:rsidR="00E77B23">
              <w:t>BSc,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Simonyi Tamás</w:t>
            </w:r>
          </w:p>
          <w:p w:rsidR="00DB4822" w:rsidRDefault="00DB4822" w:rsidP="00E11062">
            <w:pPr>
              <w:pStyle w:val="Konzulensek"/>
            </w:pPr>
            <w:r w:rsidRPr="00DB4822">
              <w:t>Igazgató (KPMG Tanácsadó Kft.),  KPMG Corporate Finance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magyar bankrendszer elemzése, helyzete nemzetközi, régiós összehasonlításban – „Hol a gödör alja, - avagy északról dél felé (félúton?) !”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bemutatom a közép-kelet európai régió bankrendszereit, bankjait országonként, továbbá az országok gazdasági-pénzügyi helyzetét. Részletesen elemzem Magyarország bankszektorát önmagában, illetve a többi országhoz viszonyítva. A továbbiakban Lengyelországot, a Cseh Köztársaságot, Szlovákiát, Romániát, Bulgáriát és Magyarországot tekintem a közép-kelet európai régiónak. A dolgozatban az alcímben feltett kérdésre keresem a választ.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során az alábbi főbb következtetésekre jutottam. Közép-Kelet-Európában kialakuló tendencia, hogy szétválik a régió bankpiaca. Magyarországtól északabbra fekvő országok kezdik elérni a válság előtti szintet, még a délebben fekvő országok továbbra is a válságot próbálják leküzdeni.</w:t>
      </w:r>
      <w:r>
        <w:rPr>
          <w:color w:val="000000"/>
          <w:sz w:val="24"/>
          <w:szCs w:val="24"/>
        </w:rPr>
        <w:br/>
        <w:t xml:space="preserve">Általánosságban elmondható, hogy a bankok a költségeiket csökkentették és emelkedtek a kamatmarzsok, valamint továbbra is magasak a tőke-megfelelési mutatók. A profitabilitást leginkább meghatározó NPL ráták a közép-kelet európai régió déli részében lényegesen nőttek és nőnek, miközben az északi országokban már elkezdtek csökkeni. A bankszektorok nyereségessége is hasonló képet fest.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régión belül egyedül a magyar bankszektorban csökkent a hitelállomány, illetve a mérlegfőösszeg, rendkívül kedvezőtlen a hitel/betét arány. Továbbra is a régiós átlagnál magasabb a nem-teljesítő hitelállomány aránya, kiugró mértékűek az értékvesztések miatt elszenvedett veszteségek. A gyengülő forint árfolyam és a nem növekedő foglalkoztatás miatt kialakult a bank piacon egy romló minőségű ügyfélkör.</w:t>
      </w:r>
      <w:r>
        <w:rPr>
          <w:color w:val="000000"/>
          <w:sz w:val="24"/>
          <w:szCs w:val="24"/>
        </w:rPr>
        <w:br/>
        <w:t xml:space="preserve">A magyar bankszektor veszteséges lett 2011 év végén. Az anyabankok tőkét emeltek, de csak a törvényi előírások mértékének való megfeleléshez, a kivonulás mérlegelésére vonatkozó cáfolatok pedig elmaradtak. Összesen 12,2 milliárd eurós külföldi forráskivonás történ a magyar bankszektorból.</w:t>
      </w:r>
      <w:r>
        <w:rPr>
          <w:color w:val="000000"/>
          <w:sz w:val="24"/>
          <w:szCs w:val="24"/>
        </w:rPr>
        <w:br/>
        <w:t xml:space="preserve">A bankrendszer mély elemzéséből kiderül, hogy önmagában a magyar szektor tudna az északi országokkal együtt haladni, de az „egyszeri” negatív hatások (bankadó, végtörlesztés) következménye a jelenleg kialakult helyzet. A legfőbb probléma pedig, hogy ezek az „egyszeri hatások” többszörivé és eltúlzott mértékűvé váltak és több évig is elhúzódhatnak.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Sajnos az objektív elemző számára úgy tűnhet, amíg a korábban velünk együtt fejlődő északi szomszédaink a Nyugat fele fordulnak, addig a magyar bankszektor „Dél felé, a Balkán fele” tart a vizsgált mutatók tekintetében. Fontos megemlíteni, hogy egy EU/IMF-hitelmegállapodás a várakozások szerint pozitív folyamatot indíthat 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3551358">
    <w:multiLevelType w:val="hybridMultilevel"/>
    <w:lvl w:ilvl="0" w:tplc="206786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3551358">
    <w:abstractNumId w:val="8355135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0016215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