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NATALIE GYÁRFÁS</w:t>
            </w:r>
          </w:p>
          <w:p w:rsidR="00C275A3" w:rsidRDefault="00A96AEC" w:rsidP="00C275A3">
            <w:pPr>
              <w:pStyle w:val="Hallgatokepzes"/>
            </w:pPr>
            <w:r>
              <w:t>Finance and Accounting</w:t>
            </w:r>
            <w:r>
              <w:br/>
            </w:r>
            <w:r w:rsidR="00E77B23">
              <w:t>BSc, 4. semester</w:t>
            </w:r>
          </w:p>
          <w:p w:rsidR="00C265CE" w:rsidRPr="009E5FF1" w:rsidRDefault="00E77B23" w:rsidP="00C275A3">
            <w:pPr>
              <w:pStyle w:val="Hallgatokepzes"/>
              <w:rPr>
                <w:b/>
                <w:caps/>
              </w:rPr>
            </w:pPr>
            <w:r>
              <w:t>Corvinus University of Budapest</w:t>
            </w:r>
            <w:r w:rsidR="00C275A3">
              <w:br/>
            </w:r>
            <w:r w:rsidR="00DB4822">
              <w:t>Faculty of Business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Tamás Simonyi</w:t>
            </w:r>
          </w:p>
          <w:p w:rsidR="00DB4822" w:rsidRDefault="00DB4822" w:rsidP="00E11062">
            <w:pPr>
              <w:pStyle w:val="Konzulensek"/>
            </w:pPr>
            <w:r w:rsidRPr="00DB4822">
              <w:t>Director,  KPMG Corporate Finance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Analysis and comparison of the Hungarian and the CEE banking sectors - Where is the bottom of the pit? - (Halfway) from North to South?</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purpose of this study was to investigate the Central Eastern European countries’ bank sectors individually and in comparison to each other. I considered the following countries as the CEE sector; Poland, Czech Republic, Slovakia, Romania, Bulgaria and Hungary. This study was then conducted in order to indentify the reasons of the Hungarian bank sector’s loss for 2011. The subtitle refers to the question if it is a regional trend or a „Hungarian unique situation”?</w:t>
      </w:r>
    </w:p>
    <w:p>
      <w:pPr>
        <w:pBdr/>
        <w:spacing w:before="240" w:after="240" w:line="240" w:lineRule="auto"/>
        <w:ind w:left="0" w:right="0"/>
        <w:jc w:val="left"/>
      </w:pPr>
      <w:r>
        <w:rPr>
          <w:color w:val="000000"/>
          <w:sz w:val="24"/>
          <w:szCs w:val="24"/>
        </w:rPr>
        <w:t xml:space="preserve">The study starts with the Hungarian banking sector’s analysis following by the other CEE countries. First the macroeconomic situations are presented for each country, then the sector-specific indexes and finally the analysis of the whole sector with a short mention of the biggest banks of the country.</w:t>
      </w:r>
    </w:p>
    <w:p>
      <w:pPr>
        <w:pBdr/>
        <w:spacing w:before="240" w:after="240" w:line="240" w:lineRule="auto"/>
        <w:ind w:left="0" w:right="0"/>
        <w:jc w:val="left"/>
      </w:pPr>
      <w:r>
        <w:rPr>
          <w:color w:val="000000"/>
          <w:sz w:val="24"/>
          <w:szCs w:val="24"/>
        </w:rPr>
        <w:br/>
        <w:t xml:space="preserve">During the research I arrived to the following conclusions. In Central-Eastern Europe it is an evolving tendency that the region’s banking sector is being split up. Countries that lie more northerly than Hungary (Poland, Czech Republic and Slovakia) are about to reach the pre-crisis level meanwhile the southern countries (Romania and Bulgaria) are still trying to overcome the crisis. The Hungarian banking sector is in the boundary of these and currently lagging behind in the regional competition. Non-performing loans are outstanding meanwhile loans were shrinking and the credit/deposit ratio is extremely unfavourable. In addition there were huge losses due to the impairments, the Hungarian Forint's was weakened and the quality of the banking market's clients deteriorated. The mother banks were rising capital but just until the level where they satisfy the Hungarian laws' requirements. A total of EUR 12.2 billion foreign funds was withdrawn from the Hungarian banking sector.</w:t>
      </w:r>
      <w:r>
        <w:rPr>
          <w:color w:val="000000"/>
          <w:sz w:val="24"/>
          <w:szCs w:val="24"/>
        </w:rPr>
        <w:br/>
        <w:t xml:space="preserve">From the deep analysis of the banking system it turned out that the Hungarian sector alone could perform along with the northern countries but the "one-off" negative effects (bank levy, early repayment) the caused the current situation. The main problem is that they were supposed to be "one-off effects" but actually became more and exaggerated and nevertheless this may continue for several years.</w:t>
      </w:r>
    </w:p>
    <w:p>
      <w:pPr>
        <w:pBdr/>
        <w:spacing w:before="240" w:after="240" w:line="240" w:lineRule="auto"/>
        <w:ind w:left="0" w:right="0"/>
        <w:jc w:val="left"/>
      </w:pPr>
      <w:r>
        <w:rPr>
          <w:color w:val="000000"/>
          <w:sz w:val="24"/>
          <w:szCs w:val="24"/>
        </w:rPr>
        <w:br/>
        <w:t xml:space="preserve">The fact that the sector was lossmaking in 2011 just underlines it. While our northern neighbours, with whom we were used to be developing together, are turning to the West, Hungary is “heading to the Balkans” regarding its indicators of the banking sector.</w:t>
      </w:r>
    </w:p>
    <w:p>
      <w:pPr>
        <w:pBdr/>
        <w:spacing w:before="240" w:after="240" w:line="240" w:lineRule="auto"/>
        <w:ind w:left="0" w:right="0"/>
        <w:jc w:val="left"/>
      </w:pPr>
    </w:p>
    <w:p>
      <w:pPr>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065085">
    <w:multiLevelType w:val="hybridMultilevel"/>
    <w:lvl w:ilvl="0" w:tplc="4295843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065085">
    <w:abstractNumId w:val="5006508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4617343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