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 EMŐKE BEREI</w:t>
            </w:r>
          </w:p>
          <w:p w:rsidR="00C275A3" w:rsidRDefault="00A96AEC" w:rsidP="00C275A3">
            <w:pPr>
              <w:pStyle w:val="Hallgatokepzes"/>
            </w:pPr>
            <w:r>
              <w:t>Finance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NIKOLETT BÓTA</w:t>
            </w:r>
          </w:p>
          <w:p w:rsidR="00DB4822" w:rsidRDefault="00C275A3" w:rsidP="004D7940">
            <w:pPr>
              <w:pStyle w:val="Hallgatokepzes"/>
            </w:pPr>
            <w:r>
              <w:t>Finance</w:t>
            </w:r>
            <w:r w:rsidR="00A96AEC">
              <w:br/>
              <w:t>MSc,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Kürthy</w:t>
            </w:r>
          </w:p>
          <w:p w:rsidR="00DB4822" w:rsidRDefault="00DB4822" w:rsidP="00E11062">
            <w:pPr>
              <w:pStyle w:val="Konzulensek"/>
            </w:pPr>
            <w:r w:rsidRPr="00DB4822">
              <w:t>assistant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Blessing or Curse? - The Foreign Reserve Strategy of Hungary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dispute about the foreign reserves of Hungary inspired our thesis. According to some rumors the question arose, whether the foreign reserves could be used to reduce the external debt of the country. The main purpose of our study is to discuss the above mentioned assumption, which we found inspiring economically. In the paper we also analyze the current foreign reserve strategy phenomena.</w:t>
      </w:r>
    </w:p>
    <w:p>
      <w:pPr>
        <w:pBdr/>
        <w:spacing w:before="240" w:after="240" w:line="240" w:lineRule="auto"/>
        <w:ind w:left="0" w:right="0"/>
        <w:jc w:val="left"/>
      </w:pPr>
      <w:r>
        <w:rPr>
          <w:color w:val="000000"/>
          <w:sz w:val="24"/>
          <w:szCs w:val="24"/>
        </w:rPr>
        <w:t xml:space="preserve">Firstly we expound the most known and widely accepted rules-of-thumb of reserve adequacy. Amongst the motives of reserve accumulating we emphasize the intention to fulfill the expectations of investors and financial markets. This has been the declared priority of the National Bank of Hungary since the autumn of 2008 in the field of reserve strategy.</w:t>
      </w:r>
    </w:p>
    <w:p>
      <w:pPr>
        <w:pBdr/>
        <w:spacing w:before="240" w:after="240" w:line="240" w:lineRule="auto"/>
        <w:ind w:left="0" w:right="0"/>
        <w:jc w:val="left"/>
      </w:pPr>
      <w:r>
        <w:rPr>
          <w:color w:val="000000"/>
          <w:sz w:val="24"/>
          <w:szCs w:val="24"/>
        </w:rPr>
        <w:t xml:space="preserve">We made a comparative analysis of reserve adequacy in the CEE region between 2002 and 2008. According to our calculations we conclude, that in the autumn of 2008 the level of Hungary’s foreign reserves proved to be unsatisfactory both relatively and absolutely. The following economic characteristics would have required a higher level of foreign reserves: the openness, the external financial position and the stock of external debt of Hungary. After the IMF loan agreement the reserve strategy changed dramatically. Now, the stock of reserves fulfill the requirements of the rules-of thumb, but we would like to point out, that beside this positive result (,,blessing”) the reserve portfolio management involves economic costs either (,,curse”).</w:t>
      </w:r>
    </w:p>
    <w:p>
      <w:pPr>
        <w:pBdr/>
        <w:spacing w:before="240" w:after="240" w:line="240" w:lineRule="auto"/>
        <w:ind w:left="0" w:right="0"/>
        <w:jc w:val="left"/>
      </w:pPr>
      <w:r>
        <w:rPr>
          <w:color w:val="000000"/>
          <w:sz w:val="24"/>
          <w:szCs w:val="24"/>
        </w:rPr>
        <w:t xml:space="preserve">At the end of our paper we answer the assumption as follows: we would not agree on reducing the external debt from the foreign reserve, because it brings up legal and economic issues. According to our results the part of public debt within the external debt is not high relatively. Therefore not even a remarkable public debt reduction would decrease the external debt, rather it could worsen reserve adequacy. In our point of view such a policy would destabilize the economy and deteriorate the international judgement of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85929">
    <w:multiLevelType w:val="hybridMultilevel"/>
    <w:lvl w:ilvl="0" w:tplc="74783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85929">
    <w:abstractNumId w:val="88785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475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