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RUDOLF LANG</w:t>
            </w:r>
          </w:p>
          <w:p w:rsidR="00C275A3" w:rsidRDefault="00A96AEC" w:rsidP="00C275A3">
            <w:pPr>
              <w:pStyle w:val="Hallgatokepzes"/>
            </w:pPr>
            <w:r>
              <w:t>Economic Analysis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Varga</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Currencies and Their Economic Effects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 the properties of local currencies and their impact on the economy. The increasing globalization of the financial market and the real economy and its experienced negative effects encouraged regional collaboration and local initiation. One specific solution was the creation of local and other complementary currencies. The issuers’ primary hope was to boost the local economy. It is not certain, however, also a base of many arguments amongst economists, what impacts do they have on the national economy and the local economy’s development. My thesis examines and answers the previous questions. The topic’s actuality is not only due to the increasing number of local currencies and other exchange systems in the last decades worldwide but also the recent developments in Hungary. For example in the spring of 2012 the ‘balatoni korona’ was introduced as the second local currency in Hungary, after the ‘soproni kékfrank’.</w:t>
      </w:r>
    </w:p>
    <w:p>
      <w:pPr>
        <w:widowControl w:val="on"/>
        <w:pBdr/>
        <w:spacing w:before="240" w:after="240" w:line="240" w:lineRule="auto"/>
        <w:ind w:left="0" w:right="0"/>
        <w:jc w:val="left"/>
      </w:pPr>
      <w:r>
        <w:rPr>
          <w:color w:val="000000"/>
          <w:sz w:val="24"/>
          <w:szCs w:val="24"/>
        </w:rPr>
        <w:t xml:space="preserve">The structure of my report is the following. In the first chapter I attempt to sort the surrogates into different groups and introduce the main features and types of the local currency initiatives, illustrated with some typical examples. I will examine the ‘soproni kékfrank’ in detail since it is the only examinable Hungarian local currency so far. Finally I will deal with the related risks and regulations of the local money. After describing the practical applications, the second chapter will explain the motives of the creation of local currencies; Silvio Gesell’s theory and his propositions. The chapter will also contain the current issuers’ reasons and the related appropriate criticism. In the third chapter I will introduce two economic models. The first is Sidrauski’s classical utility theory approach and the second is a recent search model, which emphasizes money’s medium of exchange function.</w:t>
      </w:r>
    </w:p>
    <w:p>
      <w:pPr>
        <w:widowControl w:val="on"/>
        <w:pBdr/>
        <w:spacing w:before="240" w:after="240" w:line="240" w:lineRule="auto"/>
        <w:ind w:left="0" w:right="0"/>
        <w:jc w:val="left"/>
      </w:pPr>
      <w:r>
        <w:rPr>
          <w:color w:val="000000"/>
          <w:sz w:val="24"/>
          <w:szCs w:val="24"/>
        </w:rPr>
        <w:t xml:space="preserve">My conclusion is that all the local currency constructions have a utility decreasing effect on a national economic level. Considering the theoretical motives of the creation of local currencies I reason that on an economic level it has many errors, on the other hand, however, on a social level it is a useful idea. The possibility of creating an economically correct tool with similar social impacts remains a subject to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97233">
    <w:multiLevelType w:val="hybridMultilevel"/>
    <w:lvl w:ilvl="0" w:tplc="20626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97233">
    <w:abstractNumId w:val="31097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8760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