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KAPELNER</w:t>
            </w:r>
          </w:p>
          <w:p w:rsidR="00C275A3" w:rsidRDefault="00A96AEC" w:rsidP="00C275A3">
            <w:pPr>
              <w:pStyle w:val="Hallgatokepzes"/>
            </w:pPr>
            <w:r>
              <w:t>Electrical engineering</w:t>
            </w:r>
            <w:r>
              <w:br/>
            </w:r>
            <w:r w:rsidR="00E77B23">
              <w:t>MSc, 5.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LÁSZLÓ VIKTOR MADARÁSZ</w:t>
            </w:r>
          </w:p>
          <w:p w:rsidR="00DB4822" w:rsidRDefault="00C275A3" w:rsidP="004D7940">
            <w:pPr>
              <w:pStyle w:val="Hallgatokepzes"/>
            </w:pPr>
            <w:r>
              <w:t>Finance</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Ferenci</w:t>
            </w:r>
          </w:p>
          <w:p w:rsidR="00DB4822" w:rsidRDefault="00DB4822" w:rsidP="00E11062">
            <w:pPr>
              <w:pStyle w:val="Konzulensek"/>
            </w:pPr>
            <w:r w:rsidRPr="00DB4822">
              <w:t>PhD candidate,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Independent Component Analysis and Its Empirical Tests Using Bond Returns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we introduce the theoretical background and financial application possibilities of Independent Component Analysis (ICA), a method that is increasingly popular in terms of economic data analysis. The method is capable to decompose correlating data to independent components, which are maximally independent and each original data series is a linear combination of them. Thus the method provides the possibility of separating hidden components by which the data series are driven. In the paper after presenting the theoretical background and practical applications of the method, we analyse its characteristics using the method for decomposition of bond returns. We discuss the effects of different recovering techniques of missing data on ICA -- zero and first order interpolation as well as using ARIMA--GARCH models. Furthermore we investigate the behaviour of the method in case of artificial and observed financial shocks. After analysing the method's robustness for shocks and the number of elements, we state that the method is not remarkably sensitive to little shocks, but in case of larger shift levels the resulting components will be increasingly biased. On the other hand changing the number of elements in the series has also significant impact on the components -- windowed and not windowed components are notably different from each other. We also compare the results of the algorithm implemented by us with one of the most commonly used algorithms in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42271">
    <w:multiLevelType w:val="hybridMultilevel"/>
    <w:lvl w:ilvl="0" w:tplc="46703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42271">
    <w:abstractNumId w:val="674422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4040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