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ISTVAN KIS</w:t>
            </w:r>
          </w:p>
          <w:p w:rsidR="00C275A3" w:rsidRDefault="00A96AEC" w:rsidP="00C275A3">
            <w:pPr>
              <w:pStyle w:val="Hallgatokepzes"/>
            </w:pPr>
            <w:r>
              <w:t>International Relations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Szűcs</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Marxism and the crisis of 2008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examined the financial crisis of 2008, and it's casuses and roots. I have done this with the help of marxist theory, because marxism can serve as a tool for capitalism's analysis. Marxism, as the criticism of capitalism can help us understand the basic problems of the capitalist world system, and it's inherent tendency for laying the foundations of it's crises.</w:t>
      </w:r>
    </w:p>
    <w:p>
      <w:pPr>
        <w:pBdr/>
        <w:spacing w:before="240" w:after="240" w:line="240" w:lineRule="auto"/>
        <w:ind w:left="0" w:right="0"/>
        <w:jc w:val="left"/>
      </w:pPr>
      <w:r>
        <w:rPr>
          <w:color w:val="000000"/>
          <w:sz w:val="24"/>
          <w:szCs w:val="24"/>
        </w:rPr>
        <w:t xml:space="preserve">I'll also examine the differences between the marxist theories about the crisis of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582177">
    <w:multiLevelType w:val="hybridMultilevel"/>
    <w:lvl w:ilvl="0" w:tplc="772502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582177">
    <w:abstractNumId w:val="71582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7072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