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RÉKASI ESZTER RÉKA</w:t>
            </w:r>
          </w:p>
          <w:p w:rsidR="00C275A3" w:rsidRDefault="00A96AEC" w:rsidP="00C275A3">
            <w:pPr>
              <w:pStyle w:val="Hallgatokepzes"/>
            </w:pPr>
            <w:r>
              <w:t>Közgazdálkodás és közpolitika (MA)</w:t>
            </w:r>
            <w:r>
              <w:br/>
            </w:r>
            <w:r w:rsidR="00E77B23">
              <w:t>MSc, 2.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Erika Márta</w:t>
            </w:r>
          </w:p>
          <w:p w:rsidR="00DB4822" w:rsidRDefault="00DB4822" w:rsidP="00E11062">
            <w:pPr>
              <w:pStyle w:val="Konzulensek"/>
            </w:pPr>
            <w:r w:rsidRPr="00DB4822">
              <w:t>Befektetői kapcsolatok - munkatárs,  MOL Nyrt.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Nemzetközi kerülőúton a közvetlen demokrácia felé - az egyén nemzetközi jogalanyiságától a környezeti demokráciáig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hipotézise, hogy az egyének nemzetközi jogalanyiságának fejlődése révén a civil társadalom tagjai képessé válnak politikai akaratukat az állami döntéshozatali szintet megkerülve is érvényesíteni saját országukban. Ezt a jelenséget jogtudományi és politikaelméleti szempontból közelítem, az elemzést a környezetjog és -politika területére szűkítem le. Hipotézisem igazolásához három alkérdés megválaszolása szükséges. (1) Hozzájárul-e a nemzetközi környezetjog fejlődése az egyén nemzetközi jogalanyiságának kiterjedéséhez? (2) A demokrácia milyen irányba történő fejlődése figyelhető meg politikaelméleti megközelítésben? (3) Milyen következményei lehetnek az egyén jogalanyisága fejlődésének az Európai Unióban (EU), s ezt hogy értelmezzük politikaelméleti megközelítésben? Az utolsó kérdés azért releváns, mert az EU kimondottan aktív a nemzetközi környezetpolitikai színtéren, és mert egyedülállóan fejlettek a nemzetek feletti intézményei.</w:t>
      </w:r>
    </w:p>
    <w:p>
      <w:pPr>
        <w:widowControl w:val="on"/>
        <w:pBdr/>
        <w:spacing w:before="240" w:after="240" w:line="240" w:lineRule="auto"/>
        <w:ind w:left="0" w:right="0"/>
        <w:jc w:val="left"/>
      </w:pPr>
      <w:r>
        <w:rPr>
          <w:color w:val="000000"/>
          <w:sz w:val="24"/>
          <w:szCs w:val="24"/>
        </w:rPr>
        <w:t xml:space="preserve">Arra a következtetésre jutok, hogy a környezetjog jelentősen hozzájárul az egyén nemzetközi jogalanyiságának fejlődéséhez; ez a fejlődés politikatudományi megközelítésben a demokrácia közvetlen formái (deliberatív és részvételi formák) felé mutat; és, hogy ezt az EU speciális, nemzetek feletti döntéshozatali eljárásaival gondolatban összekötve a hipotézisem igazolást nyer. Vagyis a nemzetközi környezetjogot és az európai uniós jogot alkotó jogforrások elméletileg lehetővé teszik, hogy egy uniós tagország állampolgárai olyan szakpolitikát implementáltassanak saját országukban, amely az adott ország aktuális kormányzatának elképzeléseivel ellentétes, és, hogy ezt az állampolgárok számára a nemzetközi és/vagy EU-intézményekhez való közvetlen hozzáférés, a velük való együttműködés teszi lehetővé.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76908">
    <w:multiLevelType w:val="hybridMultilevel"/>
    <w:lvl w:ilvl="0" w:tplc="25275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76908">
    <w:abstractNumId w:val="62176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339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