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RÉKA RÉKASI</w:t>
            </w:r>
          </w:p>
          <w:p w:rsidR="00C275A3" w:rsidRDefault="00A96AEC" w:rsidP="00C275A3">
            <w:pPr>
              <w:pStyle w:val="Hallgatokepzes"/>
            </w:pPr>
            <w:r>
              <w:t>Public Policy and Public Management (MA)</w:t>
            </w:r>
            <w:r>
              <w:br/>
            </w:r>
            <w:r w:rsidR="00E77B23">
              <w:t>MSc, 2.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Erika Márta Szabó</w:t>
            </w:r>
          </w:p>
          <w:p w:rsidR="00DB4822" w:rsidRDefault="00DB4822" w:rsidP="00E11062">
            <w:pPr>
              <w:pStyle w:val="Konzulensek"/>
            </w:pPr>
            <w:r w:rsidRPr="00DB4822">
              <w:t>Investor Relations - Associate,  MOL Hungarian Oil and Gas Plc.</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International Detour Toward Direct Democracy - Individuals as subjects of international law and environmental democracy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research paper I hypothesise that development of individuals as subjects of international law enables members of the civil society to circumvent state level policy-making and realize their political will at national level, even against national political government concepts – due to the direct connection to and the cooperation with some international institutions. I approach this phenomenon through a double lens: legal studies and political theory and I narrow the field of analysis to environmental law and politics. Furthermore, I pay particular attention to environmental policy-making in the European Union as the EU is especially active in the arena of international environmental politics and because supranationality has developed to the highest level in the EU, what adds a special hint to my analysis.</w:t>
      </w:r>
      <w:r>
        <w:rPr>
          <w:color w:val="000000"/>
          <w:sz w:val="24"/>
          <w:szCs w:val="24"/>
        </w:rPr>
        <w:br/>
        <w:t xml:space="preserve">I proposed three sub-questions to the answering of the hypothesis. (1) How did the development of international environmental law contribute to the expansion of individuals becoming subjects in international law? (2) How does political theory describe the development of democratic forms in the recent past? (3) What might be the consequences of the development of individuals increasingly becoming subjects to international law in the EU and how can political theory describe this change? My conclusions are as follows. The development of environmental law has made a significant contribution to the expansions of individual legal subjectivity in international law. This development can be understood as a shift toward the practices of direct democracy, like deliberative and participatory democracy. Considering also the supranational aspects of the EU my hypothesis can be confirmed. Namely, international environmental and EU law creates rights and obligations so that theoretically it becomes possible for EU citizens to turn to international environmental and/ or EU institutions and to introduce and then enforce public policies at the national level which were originally not supported by the actual governments of their countries.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454911">
    <w:multiLevelType w:val="hybridMultilevel"/>
    <w:lvl w:ilvl="0" w:tplc="163642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454911">
    <w:abstractNumId w:val="964549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39257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