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TUBOLY</w:t>
            </w:r>
          </w:p>
          <w:p w:rsidR="00C275A3" w:rsidRDefault="00A96AEC" w:rsidP="00C275A3">
            <w:pPr>
              <w:pStyle w:val="Hallgatokepzes"/>
            </w:pPr>
            <w:r>
              <w:t>Philosophy</w:t>
            </w:r>
            <w:r>
              <w:br/>
            </w:r>
            <w:r w:rsidR="00E77B23">
              <w:t>MA, 4.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Krisztián Pete</w:t>
            </w:r>
          </w:p>
          <w:p w:rsidR="00DB4822" w:rsidRDefault="00DB4822" w:rsidP="00E11062">
            <w:pPr>
              <w:pStyle w:val="Konzulensek"/>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Quantified modal logic and counterpart theory meet the actuality operator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Two of the main tools for dealing with modal statements are quantified modal logic and countarpart theory.The former is a specific intensional logic while the latter is such a theory whose language is based on classical extensional logic. If we are to choose between these two approaches regarding their expressive power then counterpart theory is in a better position. Introducing, however, a so-called actuality operator into the language of quantified modal logic, it will be on a par with its rival.</w:t>
      </w:r>
    </w:p>
    <w:p>
      <w:pPr>
        <w:pBdr/>
        <w:spacing w:before="240" w:after="240" w:line="240" w:lineRule="auto"/>
        <w:ind w:left="0" w:right="0"/>
        <w:jc w:val="left"/>
      </w:pPr>
      <w:r>
        <w:rPr>
          <w:color w:val="000000"/>
          <w:sz w:val="24"/>
          <w:szCs w:val="24"/>
        </w:rPr>
        <w:t xml:space="preserve">In my essay I was dealing with the question whether this new operator of quantified modal logic can be transleted into the language of counterpart theory, since if we are not able to do that step then counterpart theory looses its main theoretical benefit, i. e. its better expressive power.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178200">
    <w:multiLevelType w:val="hybridMultilevel"/>
    <w:lvl w:ilvl="0" w:tplc="164191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178200">
    <w:abstractNumId w:val="471782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4520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