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MIHALY ETLINGER</w:t>
            </w:r>
          </w:p>
          <w:p w:rsidR="00C275A3" w:rsidRDefault="00A96AEC" w:rsidP="00C275A3">
            <w:pPr>
              <w:pStyle w:val="Hallgatokepzes"/>
            </w:pPr>
            <w:r>
              <w:t>Hungarian language and literature</w:t>
            </w:r>
            <w:r>
              <w:br/>
            </w:r>
            <w:r w:rsidR="00E77B23">
              <w:t>BA, 6.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EMOKE GAL</w:t>
            </w:r>
          </w:p>
          <w:p w:rsidR="00DB4822" w:rsidRDefault="00C275A3" w:rsidP="004D7940">
            <w:pPr>
              <w:pStyle w:val="Hallgatokepzes"/>
            </w:pPr>
            <w:r>
              <w:t>Hungarian language and literature</w:t>
            </w:r>
            <w:r w:rsidR="00A96AEC">
              <w:br/>
              <w:t>BA, 6.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Humanities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BA, 6.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REKA VARGA</w:t>
            </w:r>
          </w:p>
          <w:p w:rsidR="00DB4822" w:rsidRDefault="00C275A3" w:rsidP="004D7940">
            <w:pPr>
              <w:pStyle w:val="Hallgatokepzes"/>
            </w:pPr>
            <w:r>
              <w:t>Hungarian language and literature</w:t>
            </w:r>
            <w:r w:rsidR="00A96AEC">
              <w:br/>
              <w:t>BA, 6.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Balazs Pap</w:t>
            </w:r>
          </w:p>
          <w:p w:rsidR="00DB4822" w:rsidRDefault="00DB4822" w:rsidP="00E11062">
            <w:pPr>
              <w:pStyle w:val="Konzulensek"/>
            </w:pPr>
            <w:r w:rsidRPr="00DB4822">
              <w:t>professor's assistant,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Preliminary study to an ouvre-edition. The psalm-translations of Miklós Bogáti Fazakas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 doubt it's one of the biggest deficiency of hungarian literary history that the works of Miklós Bogáti Fazakas hadn't been published, although it wasn't the responsibility that brought us to processing the first complete hungarian psalterium in verses known. Our work is in the first phase, but the directions in which our research must go are settled already. Our paper presents these directions, introducing the many traditions in which the Psalterium is inherited.</w:t>
      </w:r>
    </w:p>
    <w:p>
      <w:pPr>
        <w:widowControl w:val="on"/>
        <w:pBdr/>
        <w:spacing w:before="240" w:after="240" w:line="240" w:lineRule="auto"/>
        <w:ind w:left="0" w:right="0"/>
        <w:jc w:val="left"/>
      </w:pPr>
      <w:r>
        <w:rPr>
          <w:color w:val="000000"/>
          <w:sz w:val="24"/>
          <w:szCs w:val="24"/>
        </w:rPr>
        <w:t xml:space="preserve">Seven manuscripts are supposed to contain the psalterium, the first part of our paper reveals the relations between them.Unfortunately there isn't much information of these manuscripts, so we have admitted that the base of our research must be the comparison of these manuscripts. Using microfilological methods we could create a stemma, that can show the relations of the manuscripts. The thorough comparison of the texts showed as well, that it isn't a sufficient goal to create an edited textcorpus, because the "declension" of the texts in the manuscripts do seem tendentious, they are specific to the manuscript. So our research bifurcates. We do have to create an edited textcorpus that introduces the original diversity of the works of Bogáti. Plus we would like to create a database that contains the later written psalms as well, in order to show the inheritation of the Bogáti-texts.</w:t>
      </w:r>
    </w:p>
    <w:p>
      <w:pPr>
        <w:widowControl w:val="on"/>
        <w:pBdr/>
        <w:spacing w:before="240" w:after="240" w:line="240" w:lineRule="auto"/>
        <w:ind w:left="0" w:right="0"/>
        <w:jc w:val="left"/>
      </w:pPr>
      <w:r>
        <w:rPr>
          <w:color w:val="000000"/>
          <w:sz w:val="24"/>
          <w:szCs w:val="24"/>
        </w:rPr>
        <w:t xml:space="preserve">This latter goal is connected to the second part of our paper. Some psalms of Bogáti infiltrate the traditon of the printed protestant congregational chants. But these texts had been changed in order to fit the then canonical congregational chant-use. Obvious examples had been used to present how largely the complete psalterium is separated and different from the period’s tradition.</w:t>
      </w:r>
    </w:p>
    <w:p>
      <w:pPr>
        <w:widowControl w:val="on"/>
        <w:pBdr/>
        <w:spacing w:before="240" w:after="240" w:line="240" w:lineRule="auto"/>
        <w:ind w:left="0" w:right="0"/>
        <w:jc w:val="left"/>
      </w:pPr>
      <w:r>
        <w:rPr>
          <w:color w:val="000000"/>
          <w:sz w:val="24"/>
          <w:szCs w:val="24"/>
        </w:rPr>
        <w:t xml:space="preserve">The codex of János Mátéfi examplify how the copyist transforms the texts of Bogáti to make them chantable and usable to his orthodox sabbatarian congregate.</w:t>
      </w:r>
    </w:p>
    <w:p>
      <w:pPr>
        <w:widowControl w:val="on"/>
        <w:pBdr/>
        <w:spacing w:before="240" w:after="240" w:line="240" w:lineRule="auto"/>
        <w:ind w:left="0" w:right="0"/>
        <w:jc w:val="left"/>
      </w:pPr>
      <w:r>
        <w:rPr>
          <w:color w:val="000000"/>
          <w:sz w:val="24"/>
          <w:szCs w:val="24"/>
        </w:rPr>
        <w:t xml:space="preserve">On the one hand our paper is the first phase of a stopgap work, on the second hand it shows that it is worth to put the text variants next to each other because proper picture of the usage of these texts and of the receptive communities can be gained only this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48479">
    <w:multiLevelType w:val="hybridMultilevel"/>
    <w:lvl w:ilvl="0" w:tplc="21325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48479">
    <w:abstractNumId w:val="786484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7303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