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HORZSA</w:t>
            </w:r>
          </w:p>
          <w:p w:rsidR="00C275A3" w:rsidRDefault="00A96AEC" w:rsidP="00C275A3">
            <w:pPr>
              <w:pStyle w:val="Hallgatokepzes"/>
            </w:pPr>
            <w:r>
              <w:t>Sociology</w:t>
            </w:r>
            <w:r>
              <w:br/>
            </w:r>
            <w:r w:rsidR="00E77B23">
              <w:t>MA, 6.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Letenyei</w:t>
            </w:r>
          </w:p>
          <w:p w:rsidR="00DB4822" w:rsidRDefault="00DB4822" w:rsidP="00E11062">
            <w:pPr>
              <w:pStyle w:val="Konzulensek"/>
            </w:pPr>
            <w:r w:rsidRPr="00DB4822">
              <w:t>  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Please Mind the 21st Century. Connections and Relationship of a Rural Tourism Enterprise and its Village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examines the social network and relationship of an isolated Hungarian village and a tourism enterprise taking place in the village by using qualitative data collected in a one-week field work in the summer of 2011. In the given village with the population being not more than 800, a relatively huge 4-star hotel is running since 1994, with a similarly big thematic park that was opened in 2010 on the ruins of a socialist state farm, having now around 150 employees altogether. By examining the social network of the main groups of the village and the enterprise on the one hand, and their “relationship” on the other – under which I mean their way of thinking of each other – reconstructed from the 39 interviews we made, we could easily see how the enterprise is integrated in the society of the village, in a social and cultural meaning. The paper hypothesizes, that the integration, that would be an important basis of the potential multiplier effect caused by the enterprise, has strong social and cultural limits.</w:t>
      </w:r>
    </w:p>
    <w:p>
      <w:pPr>
        <w:pBdr/>
        <w:spacing w:before="240" w:after="240" w:line="240" w:lineRule="auto"/>
        <w:ind w:left="0" w:right="0"/>
        <w:jc w:val="left"/>
      </w:pPr>
      <w:r>
        <w:rPr>
          <w:color w:val="000000"/>
          <w:sz w:val="24"/>
          <w:szCs w:val="24"/>
        </w:rPr>
        <w:t xml:space="preserve">The main title of the paper comes from the caption at the exit of the park that is to warn visitors that they are leaving the historical-looking, otherwise high-tech thematic park and entering the village, simultaneously being the symbol of the gate and the gap between the two.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45010">
    <w:multiLevelType w:val="hybridMultilevel"/>
    <w:lvl w:ilvl="0" w:tplc="30133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45010">
    <w:abstractNumId w:val="687450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3863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