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AKOS MATYUS</w:t>
            </w:r>
          </w:p>
          <w:p w:rsidR="00C275A3" w:rsidRDefault="00A96AEC" w:rsidP="00C275A3">
            <w:pPr>
              <w:pStyle w:val="Hallgatokepzes"/>
            </w:pPr>
            <w:r>
              <w:t>Political Science</w:t>
            </w:r>
            <w:r>
              <w:br/>
            </w:r>
            <w:r w:rsidR="00E77B23">
              <w:t>BA, 6.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Tibor Loffler PhD</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 the shadow of the blue flag – or the minority protection in the United Nations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Having a wiev at population statistics of states of our age, we can state that ethnically homogeneous countries are rare. In the wast majority of them, many groups of people must live together, that differ lingually, culturally, and in other characteristics.</w:t>
      </w:r>
      <w:r>
        <w:rPr>
          <w:color w:val="000000"/>
          <w:sz w:val="24"/>
          <w:szCs w:val="24"/>
        </w:rPr>
        <w:br/>
        <w:t xml:space="preserve">As a natural consequence, certain communities come to dominance, which in some cases can lead to explicit or mutual confrontation. In order to keep the processes peaceful and trustful, the system of relations between them must be governed by law. From this aspect, states seem to be remarkably various, ranging from extensive constitutional protection to denying even the existence of minorities, as extremes. All in all, in most countries, this issue has not been reassuringly settled yet. That is why it seems to be highly necessary to take actions at the international level, which proceeds slowly at best.</w:t>
      </w:r>
      <w:r>
        <w:rPr>
          <w:color w:val="000000"/>
          <w:sz w:val="24"/>
          <w:szCs w:val="24"/>
        </w:rPr>
        <w:br/>
        <w:t xml:space="preserve">After the second cataclysm (Second World War) – the objective of the present paper is – the position of the United Nation’s towards this question, or rather the fact that they don’t have a standpoint towards this issue has become dominant on the subject. Despite all of the deficiencies of the period between the two world wars, it has been an unambiguous resignation (a step backwards) the fact that the minority rights have been „incorporated” into the human rights. In the past decades there were some improvements regarding this situation within the institution, which in the meantime has grown into the world's most prestigious international organization. I have tried to focus on these latter changes and to examine its effects. Methodologically I laid the emphasis on the appearance of the individual or collective rights and whether they are a part of the document individually or as a part of the human rights? Furthermore I’ve followed with close attention the legal materials which can be involved in parallel with the character of the autonomy. Based on my hypothesis the world organization will be a considerable promoter for the peaceful solutioning of the issues of the hungarians living abroad.</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001132">
    <w:multiLevelType w:val="hybridMultilevel"/>
    <w:lvl w:ilvl="0" w:tplc="374481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001132">
    <w:abstractNumId w:val="600011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69796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