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HEGYI NOÉMI</w:t>
            </w:r>
          </w:p>
          <w:p w:rsidR="00C275A3" w:rsidRDefault="00A96AEC" w:rsidP="00C275A3">
            <w:pPr>
              <w:pStyle w:val="Hallgatokepzes"/>
            </w:pPr>
            <w:r>
              <w:t>jog</w:t>
            </w:r>
            <w:r>
              <w:br/>
            </w:r>
            <w:r w:rsidR="00E77B23">
              <w:t>BA, 8.  félév</w:t>
            </w:r>
          </w:p>
          <w:p w:rsidR="00C265CE" w:rsidRPr="009E5FF1" w:rsidRDefault="00E77B23" w:rsidP="00C275A3">
            <w:pPr>
              <w:pStyle w:val="Hallgatokepzes"/>
              <w:rPr>
                <w:b/>
                <w:caps/>
              </w:rPr>
            </w:pPr>
            <w:r>
              <w:t>Babeş-Bolyai Tudományegyetem</w:t>
            </w:r>
            <w:r w:rsidR="00C275A3">
              <w:br/>
            </w:r>
            <w:r w:rsidR="00DB4822">
              <w:t>Jogi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drd. Kokoly Zsolt</w:t>
            </w:r>
          </w:p>
          <w:p w:rsidR="00DB4822" w:rsidRDefault="00DB4822" w:rsidP="00E11062">
            <w:pPr>
              <w:pStyle w:val="Konzulensek"/>
            </w:pPr>
            <w:r w:rsidRPr="00DB4822">
              <w:t>adjunktus, EMTE TMK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A szolgáltatási irányelv – Dilemma a kölcsönös elismerés és származási ország elve között</w:t>
      </w:r>
    </w:p>
    <w:p w:rsidR="00D71DF5" w:rsidRDefault="00D71DF5" w:rsidP="00AD2602">
      <w:pPr>
        <w:jc w:val="both"/>
      </w:pPr>
    </w:p>
    <w:p>
      <w:pPr>
        <w:pBdr/>
        <w:spacing w:before="240" w:after="240" w:line="240" w:lineRule="auto"/>
        <w:ind w:left="0" w:right="0"/>
        <w:jc w:val="left"/>
      </w:pPr>
      <w:r>
        <w:rPr>
          <w:color w:val="000000"/>
          <w:sz w:val="24"/>
          <w:szCs w:val="24"/>
        </w:rPr>
        <w:t xml:space="preserve">2006-ban, hosszas viták után elfogadásra került egy általános jellegű irányelv a szolgáltatásokra vonatkozóan az Európai Unió belső piacának keretén belül.</w:t>
      </w:r>
    </w:p>
    <w:p>
      <w:pPr>
        <w:pBdr/>
        <w:spacing w:before="240" w:after="240" w:line="240" w:lineRule="auto"/>
        <w:ind w:left="0" w:right="0"/>
        <w:jc w:val="left"/>
      </w:pPr>
      <w:r>
        <w:rPr>
          <w:color w:val="000000"/>
          <w:sz w:val="24"/>
          <w:szCs w:val="24"/>
        </w:rPr>
        <w:t xml:space="preserve">A Szolgáltatási Irányelv jelentős másodlagos jogi norma, hiszen a tagállamok nemzeti össztermékének meghatározó része a szolgáltatásokból származik, így az ezek szabad áramlására vonatkozó általános feltételek rögzítése önmagában is nagy jelentőséggel bír, de ugyanakkor az Irányelv sok szektoriális jellegű szolgáltatói, illetve fogyasztói érdek találkozási pontját is jelenti.</w:t>
      </w:r>
    </w:p>
    <w:p>
      <w:pPr>
        <w:pBdr/>
        <w:spacing w:before="240" w:after="240" w:line="240" w:lineRule="auto"/>
        <w:ind w:left="0" w:right="0"/>
        <w:jc w:val="left"/>
      </w:pPr>
      <w:r>
        <w:rPr>
          <w:color w:val="000000"/>
          <w:sz w:val="24"/>
          <w:szCs w:val="24"/>
        </w:rPr>
        <w:t xml:space="preserve">De valójában milyen jelentőséggel bír az Irányelv a szolgáltatások szabad áramlása szempontjából?</w:t>
      </w:r>
    </w:p>
    <w:p>
      <w:pPr>
        <w:pBdr/>
        <w:spacing w:before="240" w:after="240" w:line="240" w:lineRule="auto"/>
        <w:ind w:left="0" w:right="0"/>
        <w:jc w:val="left"/>
      </w:pPr>
      <w:r>
        <w:rPr>
          <w:color w:val="000000"/>
          <w:sz w:val="24"/>
          <w:szCs w:val="24"/>
        </w:rPr>
        <w:t xml:space="preserve">Pusztán összefoglalta ezen a téren a Bíróság ítéleteiben foglaltakat, vagy esetleg újat is hozott?</w:t>
      </w:r>
    </w:p>
    <w:p>
      <w:pPr>
        <w:pBdr/>
        <w:spacing w:before="240" w:after="240" w:line="240" w:lineRule="auto"/>
        <w:ind w:left="0" w:right="0"/>
        <w:jc w:val="left"/>
      </w:pPr>
      <w:r>
        <w:rPr>
          <w:color w:val="000000"/>
          <w:sz w:val="24"/>
          <w:szCs w:val="24"/>
        </w:rPr>
        <w:t xml:space="preserve">A kutatás eredményeként megállapítható, hogy az Irányelv nem jelent mérföldkövet a szolgáltatások szabad áramlásának biztosítása terén, hiszen tulajdonképpen az Európai Unió Működéséről szóló Szerződésben a szolgáltatások szabad áramlására vonatkozó előírásokon, és ezek alapján a Bíróság ítéletei által megállapított elveken alapszik. Az irányelv a szolgáltatások szabad áramlását tekintve fejlődésnek tekinthető a jogharmonizáció szempontjából, hiszen összefoglalta, kodifikálta a Bíróság erre vonatkozó joggyakorlatát.</w:t>
      </w:r>
    </w:p>
    <w:p>
      <w:pPr>
        <w:pBdr/>
        <w:spacing w:before="240" w:after="240" w:line="240" w:lineRule="auto"/>
        <w:ind w:left="0" w:right="0"/>
        <w:jc w:val="left"/>
      </w:pPr>
      <w:r>
        <w:rPr>
          <w:color w:val="000000"/>
          <w:sz w:val="24"/>
          <w:szCs w:val="24"/>
        </w:rPr>
        <w:t xml:space="preserve">A szolgáltatási irányelv fő megvalósítása az adminisztratív tehermentesítés és együttműködés elősegítése, a szolgáltatások szabad áramlását gátoló tényezők felszámolása érdekében.</w:t>
      </w:r>
    </w:p>
    <w:p>
      <w:pPr>
        <w:pBdr/>
        <w:spacing w:before="240" w:after="240" w:line="240" w:lineRule="auto"/>
        <w:ind w:left="0" w:right="0"/>
        <w:jc w:val="left"/>
      </w:pPr>
      <w:r>
        <w:rPr>
          <w:color w:val="000000"/>
          <w:sz w:val="24"/>
          <w:szCs w:val="24"/>
        </w:rPr>
        <w:t xml:space="preserve">Az Irányelv jelentős másodlagos jogi norma, hiszen a tagállami előírások jogközelítése által elősegíti a belső piac hatékony működését.</w:t>
      </w:r>
    </w:p>
    <w:p>
      <w:pPr>
        <w:pBdr/>
        <w:spacing w:before="240" w:after="240" w:line="240" w:lineRule="auto"/>
        <w:ind w:left="0" w:right="0"/>
        <w:jc w:val="left"/>
      </w:pPr>
      <w:r>
        <w:rPr>
          <w:color w:val="000000"/>
          <w:sz w:val="24"/>
          <w:szCs w:val="24"/>
        </w:rPr>
        <w:t xml:space="preserve">Jelentősnek tekinthető megvalósítása, hogy lehetővé teszi a más tagállamban letelepedett szolgáltatók számára határokon átnyúló szolgáltatások nyújtását, anélkül, hogy a szolgáltatót arra köteleznék, hogy telephellyel rendelkezzen abban a tagállamban, ahol a szolgáltatását nyújtja.</w:t>
      </w:r>
    </w:p>
    <w:p>
      <w:pPr>
        <w:pBdr/>
        <w:spacing w:before="240" w:after="240" w:line="240" w:lineRule="auto"/>
        <w:ind w:left="0" w:right="0"/>
        <w:jc w:val="left"/>
      </w:pPr>
      <w:r>
        <w:rPr>
          <w:color w:val="000000"/>
          <w:sz w:val="24"/>
          <w:szCs w:val="24"/>
        </w:rPr>
        <w:t xml:space="preserve">Összefoglalva, az Irányelv jelentősége főként az államok közötti kölcsönös segítségnyújtás, információcsere hatékonnyá tételében merül ki.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238468">
    <w:multiLevelType w:val="hybridMultilevel"/>
    <w:lvl w:ilvl="0" w:tplc="344574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238468">
    <w:abstractNumId w:val="332384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24817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