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HEGYI</w:t>
            </w:r>
          </w:p>
          <w:p w:rsidR="00C275A3" w:rsidRDefault="00A96AEC" w:rsidP="00C275A3">
            <w:pPr>
              <w:pStyle w:val="Hallgatokepzes"/>
            </w:pPr>
            <w:r>
              <w:t>law</w:t>
            </w:r>
            <w:r>
              <w:br/>
            </w:r>
            <w:r w:rsidR="00E77B23">
              <w:t>BA, 8. semester</w:t>
            </w:r>
          </w:p>
          <w:p w:rsidR="00C265CE" w:rsidRPr="009E5FF1" w:rsidRDefault="00E77B23" w:rsidP="00C275A3">
            <w:pPr>
              <w:pStyle w:val="Hallgatokepzes"/>
              <w:rPr>
                <w:b/>
                <w:caps/>
              </w:rPr>
            </w:pPr>
            <w:r>
              <w:t>Babeş-Bolyai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Kokoly, PhD student</w:t>
            </w:r>
          </w:p>
          <w:p w:rsidR="00DB4822" w:rsidRDefault="00DB4822" w:rsidP="00E11062">
            <w:pPr>
              <w:pStyle w:val="Konzulensek"/>
            </w:pPr>
            <w:r w:rsidRPr="00DB4822">
              <w:t>assistant professor,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Services Directive - Dilemma Between Mutual Recognition and the Country of Origin Principle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2006, after long debates, there was adopted a general directive on services within the European Union.</w:t>
      </w:r>
    </w:p>
    <w:p>
      <w:pPr>
        <w:pBdr/>
        <w:spacing w:before="240" w:after="240" w:line="240" w:lineRule="auto"/>
        <w:ind w:left="0" w:right="0"/>
        <w:jc w:val="left"/>
      </w:pPr>
      <w:r>
        <w:rPr>
          <w:color w:val="000000"/>
          <w:sz w:val="24"/>
          <w:szCs w:val="24"/>
        </w:rPr>
        <w:t xml:space="preserve">The Services Directive is a significant secondary legal norm, because a dominant part of the gross domestic product of the member states comes from services, so it is very important to create the appropriate legal frame.</w:t>
      </w:r>
    </w:p>
    <w:p>
      <w:pPr>
        <w:pBdr/>
        <w:spacing w:before="240" w:after="240" w:line="240" w:lineRule="auto"/>
        <w:ind w:left="0" w:right="0"/>
        <w:jc w:val="left"/>
      </w:pPr>
      <w:r>
        <w:rPr>
          <w:color w:val="000000"/>
          <w:sz w:val="24"/>
          <w:szCs w:val="24"/>
        </w:rPr>
        <w:t xml:space="preserve">But in fact, what kind of impact does the Services Directive have on the free movement of services within the EU?</w:t>
      </w:r>
    </w:p>
    <w:p>
      <w:pPr>
        <w:pBdr/>
        <w:spacing w:before="240" w:after="240" w:line="240" w:lineRule="auto"/>
        <w:ind w:left="0" w:right="0"/>
        <w:jc w:val="left"/>
      </w:pPr>
      <w:r>
        <w:rPr>
          <w:color w:val="000000"/>
          <w:sz w:val="24"/>
          <w:szCs w:val="24"/>
        </w:rPr>
        <w:t xml:space="preserve">Did it bring something new, or it simply summed up the decisions of the Court of Justice of the European Union?</w:t>
      </w:r>
    </w:p>
    <w:p>
      <w:pPr>
        <w:pBdr/>
        <w:spacing w:before="240" w:after="240" w:line="240" w:lineRule="auto"/>
        <w:ind w:left="0" w:right="0"/>
        <w:jc w:val="left"/>
      </w:pPr>
      <w:r>
        <w:rPr>
          <w:color w:val="000000"/>
          <w:sz w:val="24"/>
          <w:szCs w:val="24"/>
        </w:rPr>
        <w:t xml:space="preserve">What does the mutual recognition and the country of origin principle mean?</w:t>
      </w:r>
    </w:p>
    <w:p>
      <w:pPr>
        <w:pBdr/>
        <w:spacing w:before="240" w:after="240" w:line="240" w:lineRule="auto"/>
        <w:ind w:left="0" w:right="0"/>
        <w:jc w:val="left"/>
      </w:pPr>
      <w:r>
        <w:rPr>
          <w:color w:val="000000"/>
          <w:sz w:val="24"/>
          <w:szCs w:val="24"/>
        </w:rPr>
        <w:t xml:space="preserve">Which of the two prevails in the case of the Services Directive and which one would bring more benefits in relation with the free movement of services within the EU?</w:t>
      </w:r>
    </w:p>
    <w:p>
      <w:pPr>
        <w:pBdr/>
        <w:spacing w:before="240" w:after="240" w:line="240" w:lineRule="auto"/>
        <w:ind w:left="0" w:right="0"/>
        <w:jc w:val="left"/>
      </w:pPr>
      <w:r>
        <w:rPr>
          <w:color w:val="000000"/>
          <w:sz w:val="24"/>
          <w:szCs w:val="24"/>
        </w:rPr>
        <w:t xml:space="preserve">These are some of the questions I wanted to answer in my thesis.</w:t>
      </w:r>
    </w:p>
    <w:p>
      <w:pPr>
        <w:pBdr/>
        <w:spacing w:before="240" w:after="240" w:line="240" w:lineRule="auto"/>
        <w:ind w:left="0" w:right="0"/>
        <w:jc w:val="left"/>
      </w:pPr>
      <w:r>
        <w:rPr>
          <w:color w:val="000000"/>
          <w:sz w:val="24"/>
          <w:szCs w:val="24"/>
        </w:rPr>
        <w:t xml:space="preserve">The result of the analysis is, that the Services Directive does not represent a milestone in the field of free movement of the services, because in fact, it is based on the dispositions of the Treaty on the Functioning of the European Union and on the case law of the Court of Justice of the European Union. The importance of the Services Directive can be seen from the point of view of the harmonization of law, because it summerised and codified the case law of the Court of Justice, promoting the effective functioning of the internal market.</w:t>
      </w:r>
    </w:p>
    <w:p>
      <w:pPr>
        <w:pBdr/>
        <w:spacing w:before="240" w:after="240" w:line="240" w:lineRule="auto"/>
        <w:ind w:left="0" w:right="0"/>
        <w:jc w:val="left"/>
      </w:pPr>
      <w:r>
        <w:rPr>
          <w:color w:val="000000"/>
          <w:sz w:val="24"/>
          <w:szCs w:val="24"/>
        </w:rPr>
        <w:t xml:space="preserve">The method I used is the analysis of legal texts and the synthetization of the case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19077">
    <w:multiLevelType w:val="hybridMultilevel"/>
    <w:lvl w:ilvl="0" w:tplc="35953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19077">
    <w:abstractNumId w:val="79119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669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