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PÉTERFI DÉNES</w:t>
            </w:r>
          </w:p>
          <w:p w:rsidR="00C275A3" w:rsidRDefault="00A96AEC" w:rsidP="00C275A3">
            <w:pPr>
              <w:pStyle w:val="Hallgatokepzes"/>
            </w:pPr>
            <w:r>
              <w:t>Jog</w:t>
            </w:r>
            <w:r>
              <w:br/>
            </w:r>
            <w:r w:rsidR="00E77B23">
              <w:t>BA, 8.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Babeș-Bolyai Tudományegyetem</w:t>
            </w:r>
            <w:r w:rsidR="00C275A3">
              <w:br/>
            </w:r>
            <w:r w:rsidR="00DB4822">
              <w:t>Jogi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Fábian Gyula</w:t>
            </w:r>
          </w:p>
          <w:p w:rsidR="00DB4822" w:rsidRDefault="00DB4822" w:rsidP="00E11062">
            <w:pPr>
              <w:pStyle w:val="Konzulensek"/>
            </w:pPr>
            <w:r w:rsidRPr="00DB4822">
              <w:t>docens, BBTE 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kettős állampolgárság és ennek hatásai a román jogrendben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Napjaink és az elmúlt évtizedek alatt sokat hangoztatott identitástudat egyik megoldásának a módozatát elemzi ez a dolgozat, ugyanakkor próbálja megcáfolni, hogy ezen intézmény nem okoz semmilyen hátrányt, úgy állami, mint személyi szinten. A kettős állampolgárság nem új keletű, a jog számára ismeretlen intézmény, hanem ez évszázadok alatt kialakult szokások eredménye, melynek minden mozzanatát ismerni kell ahhoz, hogy megértsük ennek hatásait mindennapi életünkben. Fontos tisztázni az Európai Unió védnöki szerepét a kettős állampolgárság intézményének az alkalmazásában.</w:t>
      </w:r>
      <w:r>
        <w:rPr>
          <w:color w:val="000000"/>
          <w:sz w:val="24"/>
          <w:szCs w:val="24"/>
        </w:rPr>
        <w:br/>
        <w:t xml:space="preserve">Románia hivatalos álláspontja ebből a szempontból nem az, ami a sajtón keresztül az emberek fülébe jut, hanem sokkal inkább egy olyan jogi középút mely tiszteletben tartja minden állampolgár szabad akaratát.</w:t>
      </w:r>
      <w:r>
        <w:rPr>
          <w:color w:val="000000"/>
          <w:sz w:val="24"/>
          <w:szCs w:val="24"/>
        </w:rPr>
        <w:br/>
        <w:t xml:space="preserve">Az uniós polgárság, a kettős állampolgárság története, meghatározása, azt ezt körülvevő vélemények hatásai a román jogrendben mind szükségesek ahhoz, hogy valaki megértse és nyugodtan használja egy ilyen jogi intézmény előnyeit Romániában.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4092213">
    <w:multiLevelType w:val="hybridMultilevel"/>
    <w:lvl w:ilvl="0" w:tplc="9982114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4092213">
    <w:abstractNumId w:val="240922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3747415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