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PÉTERFI</w:t>
            </w:r>
          </w:p>
          <w:p w:rsidR="00C275A3" w:rsidRDefault="00A96AEC" w:rsidP="00C275A3">
            <w:pPr>
              <w:pStyle w:val="Hallgatokepzes"/>
            </w:pPr>
            <w:r>
              <w:t>Law</w:t>
            </w:r>
            <w:r>
              <w:br/>
            </w:r>
            <w:r w:rsidR="00E77B23">
              <w:t>BA, 8. semester</w:t>
            </w:r>
          </w:p>
          <w:p w:rsidR="00C265CE" w:rsidRPr="009E5FF1" w:rsidRDefault="00E77B23" w:rsidP="00C275A3">
            <w:pPr>
              <w:pStyle w:val="Hallgatokepzes"/>
              <w:rPr>
                <w:b/>
                <w:caps/>
              </w:rPr>
            </w:pPr>
            <w:r>
              <w:t>Babeș-Bolyai University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dr.Gyula Fábian</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Dual citizenship and its impact on the Romanian legal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thesis analyzes the dual citizenship in the Romanian legal system. The dual citizenship can be a solution for those who lost their real identity in different situations along the history. Since the last decades, after the revolution, the identity became a rediscovered part of the citizens’ rights.</w:t>
      </w:r>
      <w:r>
        <w:rPr>
          <w:color w:val="000000"/>
          <w:sz w:val="24"/>
          <w:szCs w:val="24"/>
        </w:rPr>
        <w:br/>
        <w:t xml:space="preserve">Although we are speaking about a right institution which was known from the existence of law, in Romania the people have some doubt, and for them this is a very unfriendly and unknown legal way to exercise some fundamental rights. To avoid this fear for the next generations, everyone must understand the nature of dual citizenship because this can make life easier in a country where different nations live together, but everyone would like to preserve his own heritage.</w:t>
      </w:r>
      <w:r>
        <w:rPr>
          <w:color w:val="000000"/>
          <w:sz w:val="24"/>
          <w:szCs w:val="24"/>
        </w:rPr>
        <w:br/>
        <w:t xml:space="preserve">At first we must know that the press is speculating a little bit different about the dual citizenship and how in reality this really works. On the other hand another important fact is the European Union politics, which wants to defend this type of right.</w:t>
      </w:r>
      <w:r>
        <w:rPr>
          <w:color w:val="000000"/>
          <w:sz w:val="24"/>
          <w:szCs w:val="24"/>
        </w:rPr>
        <w:br/>
        <w:t xml:space="preserve">Union citizenship, dual citizenship History, definition, interpretations through Romanian doctrine are notions, which are necessary for a Romanian citizen to understand and exercise this right calmly and with confidence.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46638">
    <w:multiLevelType w:val="hybridMultilevel"/>
    <w:lvl w:ilvl="0" w:tplc="48664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46638">
    <w:abstractNumId w:val="12146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601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