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LINDA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Erdélyi Magyar Tudományegyetem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Eugen-Gheorghe Crişan</w:t>
            </w:r>
          </w:p>
          <w:p w:rsidR="00DB4822" w:rsidRDefault="00DB4822" w:rsidP="00E11062">
            <w:pPr>
              <w:pStyle w:val="Konzulensek"/>
            </w:pPr>
            <w:r w:rsidRPr="00DB4822">
              <w:t>főügyész, társult oktató,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Kádár Hunor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ügyvéd, társult oktató,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Passzív magatartás, avagy mulasztás révén elkövetett bűncselekmények szabályozása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mulasztás révén elkövetett bűncselekmények - melyeket passzív magatartás révén elkövetett bűncselekményeknek is nevezünk - szabályozásának szükségességére irányul. Az 1968. évi 15-ös számú törvény által elfogadott Büntető törvénykönyv és ennek további kiegészítései nem szabályozták expressis verbis a passzív magatartás révén elkövetett bűncselekményeket és ezek szankcionálásának lehetőségét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mulasztás révén elkövetett bűncselekményeket vizsgáltam, ezen belül is azaktív magatartást szabályozó törvényi tényállásból származtatott passzív magatartási formárafektettem hangsúlyt. Arra szerettem volna rávilágítani a gyakorlati példával is, hogy mivel jelenleg nem létezik konkrét törvényi rendelkezés az említett passzív magatartási formára vonatkozóan, szükségszerűnek tartom ennek törvényi szabályozását és a bűncselekmény tárgyi elemei között történő tárgyalását, mivel véleményem szerint ez elengedhetetlen a büntetőjogi alapelvek érvényesülésének terén, ellenkező esetben súlyosan sérül a törvényesség követelménye, pontosabban a nullum crimen sine lege, illetve a nulla poena sine lege alapelvek.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67072">
    <w:multiLevelType w:val="hybridMultilevel"/>
    <w:lvl w:ilvl="0" w:tplc="88229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67072">
    <w:abstractNumId w:val="23967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448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