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LINDA PUSZTAI</w:t>
            </w:r>
          </w:p>
          <w:p w:rsidR="00C275A3" w:rsidRDefault="00A96AEC" w:rsidP="00C275A3">
            <w:pPr>
              <w:pStyle w:val="Hallgatokepzes"/>
            </w:pPr>
            <w:r>
              <w:t>law</w:t>
            </w:r>
            <w:r>
              <w:br/>
            </w:r>
            <w:r w:rsidR="00E77B23">
              <w:t>BA, 4.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Sapientia Hungarian University of Transylvania </w:t>
            </w:r>
            <w:r w:rsidR="00C275A3">
              <w:br/>
            </w:r>
            <w:r w:rsidR="00DB4822">
              <w:t>Faculty of Sciences and Arts, Cluj-Napoca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Eugen-Gheorghe Crişan, PhD</w:t>
            </w:r>
          </w:p>
          <w:p w:rsidR="00DB4822" w:rsidRDefault="00DB4822" w:rsidP="00E11062">
            <w:pPr>
              <w:pStyle w:val="Konzulensek"/>
            </w:pPr>
            <w:r w:rsidRPr="00DB4822">
              <w:t>attorney general, visiting professor, EMTE TMK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Hunor Kádár</w:t>
            </w:r>
          </w:p>
          <w:p w:rsidR="00DB4822" w:rsidRDefault="00DB4822" w:rsidP="00E11062">
            <w:pPr>
              <w:pStyle w:val="Konzulensek"/>
            </w:pPr>
            <w:r w:rsidRPr="00DB4822">
              <w:t>professor’s assistant, lawyer, visiting professor, EMTE TMK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Passive Behaviour - the Regulation of Crimes Committed Through Negligence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aim of this paper is to emphasize the neccessity of the regulation of crimes committed through negligence – also referred to as crimes committed through passive behaviour.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Criminal Code passed in 1968 by law nr. 15. and its further completions do not regulate expressis verbis either crimes committed through passive behaviour or the possibility for penalties.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this paper I analyzed crimes committed through negligence, accentuating the passive behaviour deriving from the statements of facts regulating active behaviour.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Since there are no existing legal provisions referring to the above mentioned passive behaviour, I would like to highlight the necessity of legal regulations concerning this problem, as I have emphasized it with practical examples. Also, it is essential to draw attention above the importance of hearings of a criminal case amidst artifacts, as I believe it is absolutely indispensible in the manifestation of criminal principles. Otherwise, the requirements of legality - more precisely the principles of nullum crimen sine lege, and nulla poena sine lege would not come into force.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499124">
    <w:multiLevelType w:val="hybridMultilevel"/>
    <w:lvl w:ilvl="0" w:tplc="599179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499124">
    <w:abstractNumId w:val="724991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64897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