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PUSZTAI LINDA</w:t>
            </w:r>
          </w:p>
          <w:p w:rsidR="00C275A3" w:rsidRDefault="00A96AEC" w:rsidP="00C275A3">
            <w:pPr>
              <w:pStyle w:val="Hallgatokepzes"/>
            </w:pPr>
            <w:r>
              <w:t>jog</w:t>
            </w:r>
            <w:r>
              <w:br/>
            </w:r>
            <w:r w:rsidR="00E77B23">
              <w:t>BA,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Erdélyi Magyar Tudományegyetem</w:t>
            </w:r>
            <w:r w:rsidR="00C275A3">
              <w:br/>
            </w:r>
            <w:r w:rsidR="00DB4822">
              <w:t>Természettudományi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Eugen-Gheorghe Crişan</w:t>
            </w:r>
          </w:p>
          <w:p w:rsidR="00DB4822" w:rsidRDefault="00DB4822" w:rsidP="00E11062">
            <w:pPr>
              <w:pStyle w:val="Konzulensek"/>
            </w:pPr>
            <w:r w:rsidRPr="00DB4822">
              <w:t>főügyész, társult oktató, EMTE TMK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Kádár Hunor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ügyvéd, társult oktató, EMTE TMK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Passzív magatartás, avagy mulasztás révén elkövetett bűncselekmények szabályozása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a mulasztás révén elkövetett bűncselekmények - melyeket passzív magatartás révén elkövetett bűncselekményeknek is nevezünk - szabályozásának szükségességére irányul. Az 1968. évi 15-ös számú törvény által elfogadott Büntető törvénykönyv és ennek további kiegészítései nem szabályozták expressis verbis a passzív magatartás révén elkövetett bűncselekményeket és ezek szankcionálásának lehetőségét sem.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során a mulasztás révén elkövetett bűncselekményeket vizsgáltam, ezen belül is azaktív magatartást szabályozó törvényi tényállásból származtatott passzív magatartási formárafektettem hangsúlyt. Arra szerettem volna rávilágítani a gyakorlati példával is, hogy mivel jelenleg nem létezik konkrét törvényi rendelkezés az említett passzív magatartási formára vonatkozóan, szükségszerűnek tartom ennek törvényi szabályozását és a bűncselekmény tárgyi elemei között történő tárgyalását, mivel véleményem szerint ez elengedhetetlen a büntetőjogi alapelvek érvényesülésének terén, ellenkező esetben súlyosan sérül a törvényesség követelménye, pontosabban a nullum crimen sine lege, illetve a nulla poena sine lege alapelvek.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974848">
    <w:multiLevelType w:val="hybridMultilevel"/>
    <w:lvl w:ilvl="0" w:tplc="121801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974848">
    <w:abstractNumId w:val="949748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15814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