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LINDA PUSZTAI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Hungarian University of Transylvania </w:t>
            </w:r>
            <w:r w:rsidR="00C275A3">
              <w:br/>
            </w:r>
            <w:r w:rsidR="00DB4822">
              <w:t>Faculty of Sciences and Arts, Cluj-Napoca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Eugen-Gheorghe Crişan, PhD</w:t>
            </w:r>
          </w:p>
          <w:p w:rsidR="00DB4822" w:rsidRDefault="00DB4822" w:rsidP="00E11062">
            <w:pPr>
              <w:pStyle w:val="Konzulensek"/>
            </w:pPr>
            <w:r w:rsidRPr="00DB4822">
              <w:t>attorney general, visiting professor, EMTE TMK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Hunor Kádár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lawyer, visiting professor,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Passive Behaviour - the Regulation of Crimes Committed Through Negligence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aim of this paper is to emphasize the neccessity of the regulation of crimes committed through negligence – also referred to as crimes committed through passive behaviour.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Criminal Code passed in 1968 by law nr. 15. and its further completions do not regulate expressis verbis either crimes committed through passive behaviour or the possibility for penalties.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analyzed crimes committed through negligence, accentuating the passive behaviour deriving from the statements of facts regulating active behaviour.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Since there are no existing legal provisions referring to the above mentioned passive behaviour, I would like to highlight the necessity of legal regulations concerning this problem, as I have emphasized it with practical examples. Also, it is essential to draw attention above the importance of hearings of a criminal case amidst artifacts, as I believe it is absolutely indispensible in the manifestation of criminal principles. Otherwise, the requirements of legality - more precisely the principles of nullum crimen sine lege, and nulla poena sine lege would not come into force.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08261">
    <w:multiLevelType w:val="hybridMultilevel"/>
    <w:lvl w:ilvl="0" w:tplc="256137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08261">
    <w:abstractNumId w:val="377082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3365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