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LEVENTE-PÉTER KOLCSÁR</w:t>
            </w:r>
          </w:p>
          <w:p w:rsidR="00C275A3" w:rsidRDefault="00A96AEC" w:rsidP="00C275A3">
            <w:pPr>
              <w:pStyle w:val="Hallgatokepzes"/>
            </w:pPr>
            <w:r>
              <w:t>Ecology and environmental protection</w:t>
            </w:r>
            <w:r>
              <w:br/>
            </w:r>
            <w:r w:rsidR="00E77B23">
              <w:t>BSc, 6. semester</w:t>
            </w:r>
          </w:p>
          <w:p w:rsidR="00C265CE" w:rsidRPr="009E5FF1" w:rsidRDefault="00E77B23" w:rsidP="00C275A3">
            <w:pPr>
              <w:pStyle w:val="Hallgatokepzes"/>
              <w:rPr>
                <w:b/>
                <w:caps/>
              </w:rPr>
            </w:pPr>
            <w:r>
              <w:t>Babeș-Bolyai University</w:t>
            </w:r>
            <w:r w:rsidR="00C275A3">
              <w:br/>
            </w:r>
            <w:r w:rsidR="00DB4822">
              <w:t>Faculty of Biology and Geology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Lujza Keresztes PhD</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Using DNA Barcods to Test Taxonomic Hypotheses in the Case of the Haired-Eyed Crane Flies (Insecta, Diptera, Pediciidae)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standard 658 bp fragment of the mithocondrial citochrom-oxidase subunit I are frequently use to identify divergent genetic structures and support new species descriptions. Although this method is quite common in a number of insect groups, in the case of Perdiciidae such molecular tools are rather sporadic. During our investigations we test taxonomic hypotheses in the case of the dipterans belongs to Pediciidae, to detect unknown larvae and to explore genetic relationships between species. Using NJ methods and Zhou criteria we were able to detect unknown larvae based on their genetic proximity with the adults in the case of 8 species. Detailed morphological comparisons between larvae revealed that some features, such as the shape of the mandible, the hypostamial plate, shape of the prementum and maxilla are good delimiting criteria at genus and subgenus level. Such morphological traits however are of little importance at species level, where combinations on morphological and molecular characters have to be used to a secure separation of the species in larval stages. Further on, using DNA barcodes in the case of the European widespread Dicranota (Paradicranota) lucidipennis an important cryptic diversity with highly divergent genetic structures was detected in the species range. Additionally a new species was identify from the Carpathians first based on genetic distance and later on morphological differences from its close related sibling species belongs to D. (P.) mikiana complex. Our results confirm the suitability of DNA barcods to test taxonomic hypotheseses, identify cryptic diversity and reveal relations between species in Pediciidae and have important practical applicability, helping identify unknown larvae and clarify the ecological demands of the species.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384441">
    <w:multiLevelType w:val="hybridMultilevel"/>
    <w:lvl w:ilvl="0" w:tplc="509117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384441">
    <w:abstractNumId w:val="133844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84543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