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BÁCS</w:t>
            </w:r>
          </w:p>
          <w:p w:rsidR="00C275A3" w:rsidRDefault="00A96AEC" w:rsidP="00C275A3">
            <w:pPr>
              <w:pStyle w:val="Hallgatokepzes"/>
            </w:pPr>
            <w:r>
              <w:t>Department of Film, Photography and Media</w:t>
            </w:r>
            <w:r>
              <w:br/>
            </w:r>
            <w:r w:rsidR="00E77B23">
              <w:t>BA, 8. semester</w:t>
            </w:r>
          </w:p>
          <w:p w:rsidR="00C265CE" w:rsidRPr="009E5FF1" w:rsidRDefault="00E77B23" w:rsidP="00C275A3">
            <w:pPr>
              <w:pStyle w:val="Hallgatokepzes"/>
              <w:rPr>
                <w:b/>
                <w:caps/>
              </w:rPr>
            </w:pPr>
            <w:r>
              <w:t>Sapientia University</w:t>
            </w:r>
            <w:r w:rsidR="00C275A3">
              <w:br/>
            </w:r>
            <w:r w:rsidR="00DB4822">
              <w:t>Faculty of Science and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Blos-Jáni, PhD</w:t>
            </w:r>
          </w:p>
          <w:p w:rsidR="00DB4822" w:rsidRDefault="00DB4822" w:rsidP="00E11062">
            <w:pPr>
              <w:pStyle w:val="Konzulensek"/>
            </w:pPr>
            <w:r w:rsidRPr="00DB4822">
              <w:t>Assistant professor, EMTE TMK</w:t>
            </w:r>
          </w:p>
        </w:tc>
      </w:tr>
      <w:tr w:rsidR="00DB4822" w:rsidTr="00DB4822">
        <w:tc>
          <w:tcPr>
            <w:tcW w:w="9854" w:type="dxa"/>
          </w:tcPr>
          <w:p w:rsidR="00DB4822" w:rsidRPr="00DB4822" w:rsidRDefault="00DB4822" w:rsidP="004D7940">
            <w:pPr>
              <w:pStyle w:val="Konzulensek"/>
            </w:pPr>
            <w:r w:rsidRPr="00DB4822">
              <w:t>Gusztáv Lóránt Sőthr, PhD</w:t>
            </w:r>
          </w:p>
          <w:p w:rsidR="00DB4822" w:rsidRDefault="00DB4822" w:rsidP="00E11062">
            <w:pPr>
              <w:pStyle w:val="Konzulensek"/>
            </w:pPr>
            <w:r w:rsidRPr="00DB4822">
              <w:t>Associate 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MUTE CHARACTER OR RELATIONSHIP BETWEEN MASTER AND SERVANT in R.W. Fassbinder’s film, The bitter tears of Petra von Kant (1972) or in Samuel Beckett’s drama, Waiting for Godot (1952)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Both in cinema and theatre mute personas pop up from time to time. Michel Chion sees the mute character as an observer who is "entirely looking", the keeper and unfolder of the truth. His being is causing a certain eeriness, thus keeping his surroundings in doubt. His unraveling hindered, his function is reduced to that of the servant, usually serving a person with a higher status. Such pair is formed in R. W. Fassbender's The Bitter Tears of Petra von Kant(1972) by the mute Marlene and her mistress Petra, or in S. Beckett's drama Waiting for Godot (1952) by the also mute Lucky and his master Pozzo. The story of Marlene and Petra is of course very different from a narration standpoint by the characters in Beckett's drama, but would it be il-judged to state that their situation is completely the same? The masters in both pieces are dependent on their servants even though seemingly they are in control.</w:t>
      </w:r>
      <w:r>
        <w:rPr>
          <w:color w:val="000000"/>
          <w:sz w:val="24"/>
          <w:szCs w:val="24"/>
        </w:rPr>
        <w:br/>
        <w:t xml:space="preserve">In my paper I'm examining this mute character type and the complexities of the relationship types they have with their supposed master in said pieces, backing up my claims with the similar themes in the works of drama and cinematics.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34819">
    <w:multiLevelType w:val="hybridMultilevel"/>
    <w:lvl w:ilvl="0" w:tplc="62965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34819">
    <w:abstractNumId w:val="87834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951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