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ANNA MAKKAI</w:t>
            </w:r>
          </w:p>
          <w:p w:rsidR="00C275A3" w:rsidRDefault="00A96AEC" w:rsidP="00C275A3">
            <w:pPr>
              <w:pStyle w:val="Hallgatokepzes"/>
            </w:pPr>
            <w:r>
              <w:t>Advanced Communication Techniques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>Faculty of Political, Administrative and Communication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Hanna Orsolya Vincze,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Regional branding. Possible principles for Transsylvania's place branding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Europe several region has started image making in a self-conscious way to form the picture of self definition. This created picture is formed by place branding, which is planed and developed.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Its basic goal is to explore and to expolit the regions competitive factors, to increase its attraction.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aim is to focus on branding a region as a geographical place. Specifically I suggest a certain aspects to help in finding a way for a possible branding of Transsylvania as region.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my purpose is to identify an existing and in a spontanious way formed image. I am looking for the answer for the question: can we talk about an existing image of Transsylvania? If it exists, on what items is composed of?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based on resources related to Transsylvania, we can talk about a primary and uncoordinated image. I found items which refer to Transsylvania rather as a tourist attraction.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42246">
    <w:multiLevelType w:val="hybridMultilevel"/>
    <w:lvl w:ilvl="0" w:tplc="2292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42246">
    <w:abstractNumId w:val="82242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101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