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EROS LORANT</w:t>
            </w:r>
          </w:p>
          <w:p w:rsidR="00C275A3" w:rsidRDefault="00A96AEC" w:rsidP="00C275A3">
            <w:pPr>
              <w:pStyle w:val="Hallgatokepzes"/>
            </w:pPr>
            <w:r>
              <w:t>Strategies and Policies in Marketing</w:t>
            </w:r>
            <w:r>
              <w:br/>
            </w:r>
            <w:r w:rsidR="00E77B23">
              <w:t>MA, 2.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Alt Monika Anetta</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art of community building: how Romanian nonprofit organizations are using Facebook pages?</w:t>
      </w:r>
    </w:p>
    <w:p w:rsidR="00D71DF5" w:rsidRDefault="00D71DF5" w:rsidP="00AD2602">
      <w:pPr>
        <w:jc w:val="both"/>
      </w:pPr>
    </w:p>
    <w:p>
      <w:pPr>
        <w:pBdr/>
        <w:spacing w:before="240" w:after="240" w:line="240" w:lineRule="auto"/>
        <w:ind w:left="0" w:right="0"/>
        <w:jc w:val="left"/>
      </w:pPr>
      <w:r>
        <w:rPr>
          <w:b/>
          <w:color w:val="000000"/>
          <w:sz w:val="24"/>
          <w:szCs w:val="24"/>
        </w:rPr>
        <w:t xml:space="preserve">The art of community building: how Romanian nonprofit organizations are using Facebook pages?</w:t>
      </w:r>
    </w:p>
    <w:p>
      <w:pPr>
        <w:pBdr/>
        <w:spacing w:before="240" w:after="240" w:line="240" w:lineRule="auto"/>
        <w:ind w:left="0" w:right="0"/>
        <w:jc w:val="left"/>
      </w:pPr>
      <w:r>
        <w:rPr>
          <w:color w:val="000000"/>
          <w:sz w:val="24"/>
          <w:szCs w:val="24"/>
        </w:rPr>
        <w:t xml:space="preserve">This paper explores the use and application of Facebook among Romanian Non-profit Organizations. The research questions guiding this study were: How do the Romanian NGOS apply/adapt the communication and community building strategy on their Facebook pages? What information do Romanian NGOs deliver through Facebook page? Affect the market extension the Facebook presence? This study employs content analysis to examine current uses of the 27 NGOs Facebook page. I have analyzed the NGOs Facebook activity with a four-factor model (this model contains 31 test points). Based on 8-S framework of category for Facebook users only two organizations use totally the possibilities offered by Facebook. The majority of NGOs due to the lack of resources or time cannot pay attention continuously to their Facebook presence.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14968">
    <w:multiLevelType w:val="hybridMultilevel"/>
    <w:lvl w:ilvl="0" w:tplc="35935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14968">
    <w:abstractNumId w:val="74714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053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