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LADÓ</w:t>
            </w:r>
          </w:p>
          <w:p w:rsidR="00C275A3" w:rsidRDefault="00A96AEC" w:rsidP="00C275A3">
            <w:pPr>
              <w:pStyle w:val="Hallgatokepzes"/>
            </w:pPr>
            <w:r>
              <w:t>History of Art</w:t>
            </w:r>
            <w:r>
              <w:br/>
            </w:r>
            <w:r w:rsidR="00E77B23">
              <w:t>BA, 6. semester</w:t>
            </w:r>
          </w:p>
          <w:p w:rsidR="00C265CE" w:rsidRPr="009E5FF1" w:rsidRDefault="00E77B23" w:rsidP="00C275A3">
            <w:pPr>
              <w:pStyle w:val="Hallgatokepzes"/>
              <w:rPr>
                <w:b/>
                <w:caps/>
              </w:rPr>
            </w:pPr>
            <w:r>
              <w:t>Babeș-Bolyai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Kovács, Phd Student</w:t>
            </w:r>
          </w:p>
          <w:p w:rsidR="00DB4822" w:rsidRDefault="00DB4822" w:rsidP="00E11062">
            <w:pPr>
              <w:pStyle w:val="Konzulensek"/>
            </w:pPr>
            <w:r w:rsidRPr="00DB4822">
              <w:t>Assistant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county seat of Csík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will present the new results of the research – mainly based on sources from the archives and on the turn of the century press – connected to the new county seat of Csík. Throughout my research, based on the given primary sources and on the literature of the topic, I try to give a comprehensive picture of the analysed building and to place it in a wider architectural and stylistic context. Alongside the history of the land change – the antecedent of the constructions – we managed to reconstruct in detail the county seat’s building history, that includes the causes of necessary plan modifications, the material circumstances and the proper course of the building process. One of the most important results of the research is the gathering of information about the architect of the county seat, Hám Ignác, who came from Transdanubia and who played a vital role both in the prime quality construction and the up to par final outlook of the building. After the thorough study of the Rank- and Name Register of Hungarian Officers we managed to shed light on Hám Ignác’s career, who appeared in many counties of Hungary and was present at the end of the construction work on Nagybecskerek’s new county seat, built in the same period as the one in Csíkszereda. Another important result of the research is that we have been able to classify the new county seat of Csíkszereda in the third big county seat-building period of Hungary. Based on the circumstances of the construction work and on the general and common characteristics of the county seats built in the same period, we succeeded in placing the analyzed building in a wider context and thus – hopefully – contributing to the study of the turn of the century Hungarian architecture.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49292">
    <w:multiLevelType w:val="hybridMultilevel"/>
    <w:lvl w:ilvl="0" w:tplc="17543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49292">
    <w:abstractNumId w:val="44149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848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