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MÁRIA VISKY</w:t>
            </w:r>
          </w:p>
          <w:p w:rsidR="00C275A3" w:rsidRDefault="00A96AEC" w:rsidP="00C275A3">
            <w:pPr>
              <w:pStyle w:val="Hallgatokepzes"/>
            </w:pPr>
            <w:r>
              <w:t>Art History</w:t>
            </w:r>
            <w:r>
              <w:br/>
            </w:r>
            <w:r w:rsidR="00E77B23">
              <w:t>BA, 4. semester</w:t>
            </w:r>
          </w:p>
          <w:p w:rsidR="00C265CE" w:rsidRPr="009E5FF1" w:rsidRDefault="00E77B23" w:rsidP="00C275A3">
            <w:pPr>
              <w:pStyle w:val="Hallgatokepzes"/>
              <w:rPr>
                <w:b/>
                <w:caps/>
              </w:rPr>
            </w:pPr>
            <w:r>
              <w:t>Babeş-Bolyai University</w:t>
            </w:r>
            <w:r w:rsidR="00C275A3">
              <w:br/>
            </w:r>
            <w:r w:rsidR="00DB4822">
              <w:t>History and Philosophy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Magdolna Lichner Phd</w:t>
            </w:r>
          </w:p>
          <w:p w:rsidR="00DB4822" w:rsidRDefault="00DB4822" w:rsidP="00E11062">
            <w:pPr>
              <w:pStyle w:val="Konzulensek"/>
            </w:pPr>
            <w:r w:rsidRPr="00DB4822">
              <w:t>art historian,  Museum of Applied Arts, Archives Department</w:t>
            </w:r>
          </w:p>
        </w:tc>
      </w:tr>
      <w:tr w:rsidR="00DB4822" w:rsidTr="00DB4822">
        <w:tc>
          <w:tcPr>
            <w:tcW w:w="9854" w:type="dxa"/>
          </w:tcPr>
          <w:p w:rsidR="00DB4822" w:rsidRPr="00DB4822" w:rsidRDefault="00DB4822" w:rsidP="004D7940">
            <w:pPr>
              <w:pStyle w:val="Konzulensek"/>
            </w:pPr>
            <w:r w:rsidRPr="00DB4822">
              <w:t>Ildikó Pandur Phd</w:t>
            </w:r>
          </w:p>
          <w:p w:rsidR="00DB4822" w:rsidRDefault="00DB4822" w:rsidP="00E11062">
            <w:pPr>
              <w:pStyle w:val="Konzulensek"/>
            </w:pPr>
            <w:r w:rsidRPr="00DB4822">
              <w:t>art historian, museologist,  Museum of Applied Arts, Metalwork Collection</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new face of Bánffy Miklós - the research of two cups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Count Bánffy Miklós, the last male direct descendant of the Bánffy counts of Losoncz has been active in more than one fields of art, his works in literature, stage- and costume design are well known and appreciated. My study is aimed to shed light on this personality’s less known field of activity, presenting two silverworks designed by Bánffy and manufactured by silversmith Pál Lajos from Budapest, outstanding pieces of the Hungarian applied arts in the interwar period.</w:t>
      </w:r>
      <w:r>
        <w:rPr>
          <w:color w:val="000000"/>
          <w:sz w:val="24"/>
          <w:szCs w:val="24"/>
        </w:rPr>
        <w:br/>
        <w:t xml:space="preserve">One of the goldplated silver cups figured at the 2012 ’Art Deco and Modernism – Home Design in Hungary 1920–1940’ art exhibition as a piece of the Budapest Museum of Applied Arts’ collection, and its match, with a religious iconography, is still used at confirmation ceremonies in the Farkas Street Reformed Church, Cluj, in conformity with the donor count’s wish. The cups that fit in the art deco stream from a stylistic viewpoint are similar in both their shape and their execution, and bear witness to a craftsman with an exeptionally elaborate technique. Considering the unprocessed work of Pál Lajos, the School of Applied Arts’ former teacher and for a short time commissioned headmaster, these two silverworks presented a firm starting point in discovering the silversmith’s professional path. In the structural solutions of the works from 1931 the craftsman revives the traditional technique of the manierist silversmith’s principle of assembling, and in the same time they feature the decorativism of the interwar period’s applied arts, the use of natural shapes and of geometrical stylization. These fruits of Bánffy Miklós’ various and extensive oeuvre bear the signs of the count’s objectual culture routed in his patrician literacy and the signs of his commitment to church and nature.</w:t>
      </w:r>
      <w:r>
        <w:rPr>
          <w:color w:val="000000"/>
          <w:sz w:val="24"/>
          <w:szCs w:val="24"/>
        </w:rPr>
        <w:br/>
        <w:t xml:space="preserve">These works’ importance lies in qualitative and thorough execution, and their style inspired by the Wiener Werkstätte, the early modern era’s silversmith practice and the nature-loving count’s culture. Furthermore they reflect the most significant characteristics of Pál Lajos’s art, and act as new testimonies of Bánffy’s creative versatility, good examples of the Transylvanian and Hungarian artistic awareness.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046037">
    <w:multiLevelType w:val="hybridMultilevel"/>
    <w:lvl w:ilvl="0" w:tplc="281412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046037">
    <w:abstractNumId w:val="180460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31026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