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JOIŢA NICOLETA</w:t>
            </w:r>
          </w:p>
          <w:p w:rsidR="00C275A3" w:rsidRDefault="00A96AEC" w:rsidP="00C275A3">
            <w:pPr>
              <w:pStyle w:val="Hallgatokepzes"/>
            </w:pPr>
            <w:r>
              <w:t>Bank- és Pénzügy szak</w:t>
            </w:r>
            <w:r>
              <w:br/>
            </w:r>
            <w:r w:rsidR="00E77B23">
              <w:t>BA, 6. félév</w:t>
            </w:r>
          </w:p>
          <w:p w:rsidR="00C265CE" w:rsidRPr="009E5FF1" w:rsidRDefault="00E77B23" w:rsidP="00C275A3">
            <w:pPr>
              <w:pStyle w:val="Hallgatokepzes"/>
              <w:rPr>
                <w:b/>
                <w:caps/>
              </w:rPr>
            </w:pPr>
            <w:r>
              <w:t>Babeş-Bolyai Tudományegyetem</w:t>
            </w:r>
            <w:r w:rsidR="00C275A3">
              <w:br/>
            </w:r>
            <w:r w:rsidR="00DB4822">
              <w:t>Közgazdaság- és 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Benyovszki Annamária</w:t>
            </w:r>
          </w:p>
          <w:p w:rsidR="00DB4822" w:rsidRDefault="00DB4822" w:rsidP="00E11062">
            <w:pPr>
              <w:pStyle w:val="Konzulensek"/>
            </w:pPr>
            <w:r w:rsidRPr="00DB4822">
              <w:t>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Stressztesztek a banki kockázatkezelésben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Bázeli Bankfelügyeleti Bizottság szabályozásainak értelmében minden pénzintézet köteles az allokálandó kockázati tőke megállapításakor, stressz teszteknek is alávetni portfólióját. Ezáltal védekezhetnek az alacsony valószínűséggel bekövetkező, ám nagy mértékű veszteséget okozó események ellen. Mindezek ellenére nem áll a bankok rendelkezésére egy általánosan elfogadott gyakorlat sem a stressz tesztek kivitelezését, sem módszertanát illetően. Ezen tanulmány, az eddigi kutatások alapján, először megpróbálja megállapítani, melyek azok a tényezők, amelyek befolyásolják a nemteljesítő hitelek alakulását, majd egy tíz bankból álló modell-bankrendszer segítségével szemlélteti egy alacsony valószínűségű, nagy veszteséget okozó makrogazdasági szcenárió hatását.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07473">
    <w:multiLevelType w:val="hybridMultilevel"/>
    <w:lvl w:ilvl="0" w:tplc="99377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07473">
    <w:abstractNumId w:val="15607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768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